
<file path=[Content_Types].xml><?xml version="1.0" encoding="utf-8"?>
<Types xmlns="http://schemas.openxmlformats.org/package/2006/content-types">
  <Default Extension="tiff" ContentType="image/tif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7C7B006">
      <w:pPr>
        <w:spacing w:before="120" w:after="120" w:line="360" w:lineRule="auto"/>
        <w:jc w:val="center"/>
        <w:rPr>
          <w:rFonts w:ascii="黑体" w:hAnsi="黑体" w:eastAsia="黑体" w:cs="黑体"/>
          <w:b/>
          <w:bCs/>
          <w:sz w:val="32"/>
          <w:szCs w:val="32"/>
        </w:rPr>
      </w:pPr>
      <w:bookmarkStart w:id="0" w:name="Xd5bf4dd02c49759f878f2d90a6d7dc43868b89f"/>
      <w:r>
        <w:rPr>
          <w:rFonts w:hint="eastAsia" w:ascii="黑体" w:hAnsi="黑体" w:eastAsia="黑体" w:cs="黑体"/>
          <w:b/>
          <w:bCs/>
          <w:sz w:val="32"/>
          <w:szCs w:val="32"/>
        </w:rPr>
        <w:t>名师引航 赛研驱动 双师筑基：三位一体教师团队成长体系的实践创新教学成果报告</w:t>
      </w:r>
    </w:p>
    <w:p w14:paraId="62B88323">
      <w:pPr>
        <w:pStyle w:val="4"/>
        <w:spacing w:before="120" w:after="120" w:line="360" w:lineRule="auto"/>
        <w:rPr>
          <w:rFonts w:ascii="宋体" w:hAnsi="宋体" w:eastAsia="宋体" w:cs="宋体"/>
          <w:color w:val="auto"/>
        </w:rPr>
      </w:pPr>
      <w:bookmarkStart w:id="1" w:name="ux4e00ux95eeux9898ux7684ux63d0ux51fa"/>
      <w:r>
        <w:rPr>
          <w:rFonts w:hint="eastAsia" w:ascii="宋体" w:hAnsi="宋体" w:eastAsia="宋体" w:cs="宋体"/>
          <w:color w:val="auto"/>
        </w:rPr>
        <w:t>一、问题的提出</w:t>
      </w:r>
    </w:p>
    <w:p w14:paraId="5B8BAEF4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教师队伍是职业教育发展的核心，更是支撑国家职业教育改革落地的关键力量。在智能制造产业升级与职业教育“三教改革” “岗课赛证”融合的双重背景下，中职装备制造类专业教师团队建设面临诸多现实困境，其中数控专业尤为突出。佛山市南海区信息技术学校作为国家中职教育改革发展示范学校、国家级重点中职学校，依托广东省高水平中职学校、“双精准”示范专业等建设项目，在长期教学实践中发现，中职数控专业教师团队存在</w:t>
      </w:r>
      <w:r>
        <w:rPr>
          <w:rFonts w:hint="eastAsia" w:ascii="宋体" w:hAnsi="宋体" w:eastAsia="宋体" w:cs="宋体"/>
          <w:lang w:eastAsia="zh-CN"/>
        </w:rPr>
        <w:t>以下</w:t>
      </w:r>
      <w:r>
        <w:rPr>
          <w:rFonts w:hint="eastAsia" w:ascii="宋体" w:hAnsi="宋体" w:eastAsia="宋体" w:cs="宋体"/>
        </w:rPr>
        <w:t>三大核心问题</w:t>
      </w:r>
      <w:r>
        <w:rPr>
          <w:rFonts w:hint="eastAsia" w:ascii="宋体" w:hAnsi="宋体" w:eastAsia="宋体" w:cs="宋体"/>
          <w:lang w:eastAsia="zh-CN"/>
        </w:rPr>
        <w:t>。</w:t>
      </w:r>
    </w:p>
    <w:p w14:paraId="18C3AD4C">
      <w:pPr>
        <w:pStyle w:val="5"/>
        <w:spacing w:before="120" w:after="120" w:line="360" w:lineRule="auto"/>
        <w:rPr>
          <w:rFonts w:ascii="宋体" w:hAnsi="宋体" w:eastAsia="宋体" w:cs="宋体"/>
          <w:color w:val="auto"/>
        </w:rPr>
      </w:pPr>
      <w:bookmarkStart w:id="2" w:name="X522727b17a6e5cb7a8b90df3fb657b58b2b01bc"/>
      <w:r>
        <w:rPr>
          <w:rFonts w:hint="eastAsia" w:ascii="宋体" w:hAnsi="宋体" w:eastAsia="宋体" w:cs="宋体"/>
          <w:color w:val="auto"/>
        </w:rPr>
        <w:t>（一）教师发展方向模糊，成长缺乏标杆引领</w:t>
      </w:r>
    </w:p>
    <w:p w14:paraId="25DBEA3E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中职数控专业教师普遍面临“职业路径不清晰、成长无指引”困境：多处于“单打独斗”状态，缺乏系统职业规划与专业引领，对智能制造背景下数控技术迭代、教学内容更新把握不足；传统培训以“短期讲座、集中授课”为主，形式化且难精准适配个体差异，校内亦无层级分明的培育体系，致新手教师难融入、骨干教师难破瓶颈，团队专业成长缓慢，无法满足教学升级需求。</w:t>
      </w:r>
    </w:p>
    <w:bookmarkEnd w:id="2"/>
    <w:p w14:paraId="00B617C1">
      <w:pPr>
        <w:pStyle w:val="5"/>
        <w:spacing w:before="120" w:after="120" w:line="360" w:lineRule="auto"/>
        <w:rPr>
          <w:rFonts w:ascii="宋体" w:hAnsi="宋体" w:eastAsia="宋体" w:cs="宋体"/>
          <w:color w:val="auto"/>
        </w:rPr>
      </w:pPr>
      <w:bookmarkStart w:id="3" w:name="Xe2c56233033fe3ac4c532cf1b455e349ecd9336"/>
      <w:r>
        <w:rPr>
          <w:rFonts w:hint="eastAsia" w:ascii="宋体" w:hAnsi="宋体" w:eastAsia="宋体" w:cs="宋体"/>
          <w:color w:val="auto"/>
        </w:rPr>
        <w:t>（二）教学创新能力薄弱，成果转化效率低下</w:t>
      </w:r>
    </w:p>
    <w:p w14:paraId="17A14BD0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传统教学模式下，中职数控专业教师多依赖固定教材，对教学方法创新、实训内容优化探索意愿弱，存在三方面问题：一是教研与实际脱节，课题侧重理论，难破教学技术痛点，科研成果难转化为课堂资源；二是竞赛成果反哺不足，获奖方案、技能经验仅停留在“荣誉层面”，未形成标准化模块融入教学；三是教学内容更新滞后，教材部分技术案例不符企业实际，课堂吸引力弱</w:t>
      </w:r>
      <w:r>
        <w:rPr>
          <w:rFonts w:hint="eastAsia" w:ascii="宋体" w:hAnsi="宋体" w:eastAsia="宋体" w:cs="宋体"/>
          <w:lang w:eastAsia="zh-CN"/>
        </w:rPr>
        <w:t>。</w:t>
      </w:r>
    </w:p>
    <w:bookmarkEnd w:id="3"/>
    <w:p w14:paraId="4FEBAC37">
      <w:pPr>
        <w:pStyle w:val="5"/>
        <w:spacing w:before="120" w:after="120" w:line="360" w:lineRule="auto"/>
        <w:rPr>
          <w:rFonts w:ascii="宋体" w:hAnsi="宋体" w:eastAsia="宋体" w:cs="宋体"/>
          <w:color w:val="auto"/>
        </w:rPr>
      </w:pPr>
      <w:bookmarkStart w:id="4" w:name="X2f393de421c26c75b8904561bf161206aa2d9ed"/>
      <w:r>
        <w:rPr>
          <w:rFonts w:hint="eastAsia" w:ascii="宋体" w:hAnsi="宋体" w:eastAsia="宋体" w:cs="宋体"/>
          <w:color w:val="auto"/>
        </w:rPr>
        <w:t>（三）产业技术脱节严重，实践教学能力不足</w:t>
      </w:r>
    </w:p>
    <w:p w14:paraId="3BC1F255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智能制造技术推动数控领域设备、工艺加速迭代，但中职数控专业教师因长期在校教学缺乏企业一线实践经历</w:t>
      </w:r>
      <w:r>
        <w:rPr>
          <w:rFonts w:hint="eastAsia" w:ascii="宋体" w:hAnsi="宋体" w:eastAsia="宋体" w:cs="宋体"/>
          <w:lang w:eastAsia="zh-CN"/>
        </w:rPr>
        <w:t>。</w:t>
      </w:r>
    </w:p>
    <w:p w14:paraId="3A602336">
      <w:pPr>
        <w:pStyle w:val="3"/>
      </w:pPr>
    </w:p>
    <w:p w14:paraId="69DC76AD">
      <w:pPr>
        <w:pStyle w:val="3"/>
      </w:pPr>
      <w:r>
        <w:drawing>
          <wp:inline distT="0" distB="0" distL="0" distR="0">
            <wp:extent cx="6061710" cy="275590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43"/>
                    <a:stretch>
                      <a:fillRect/>
                    </a:stretch>
                  </pic:blipFill>
                  <pic:spPr>
                    <a:xfrm>
                      <a:off x="0" y="0"/>
                      <a:ext cx="6075751" cy="276211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F8BFD">
      <w:pPr>
        <w:pStyle w:val="3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图1</w:t>
      </w:r>
      <w:r>
        <w:rPr>
          <w:lang w:eastAsia="zh-CN"/>
        </w:rPr>
        <w:t xml:space="preserve">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eastAsia="zh-CN"/>
        </w:rPr>
        <w:t>中职数控专业教师发展现状及改革必要性</w:t>
      </w:r>
    </w:p>
    <w:bookmarkEnd w:id="4"/>
    <w:p w14:paraId="63EE668C">
      <w:pPr>
        <w:pStyle w:val="5"/>
        <w:spacing w:before="120" w:after="120" w:line="360" w:lineRule="auto"/>
        <w:rPr>
          <w:rFonts w:ascii="宋体" w:hAnsi="宋体" w:eastAsia="宋体" w:cs="宋体"/>
          <w:color w:val="auto"/>
        </w:rPr>
      </w:pPr>
      <w:bookmarkStart w:id="5" w:name="X3f0175145ea3cf40ecf3d074e70a81a947ec387"/>
      <w:r>
        <w:rPr>
          <w:rFonts w:hint="eastAsia" w:ascii="宋体" w:hAnsi="宋体" w:eastAsia="宋体" w:cs="宋体"/>
          <w:color w:val="auto"/>
        </w:rPr>
        <w:t>（四）改革与实践探索的必要性</w:t>
      </w:r>
    </w:p>
    <w:p w14:paraId="5F30E7B7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《国家职业教育改革实施方案》要求建高水平教师队伍、深化校企合作，强化中职教师“双师素养”</w:t>
      </w:r>
      <w:r>
        <w:rPr>
          <w:rFonts w:hint="eastAsia" w:ascii="宋体" w:hAnsi="宋体" w:eastAsia="宋体" w:cs="宋体"/>
          <w:lang w:eastAsia="zh-CN"/>
        </w:rPr>
        <w:t>，提升教学创新能力。佛山市需要高素质数控人才来巩固广东省高水平中职学校、“双精准”示范专业的建设成果。解决教师发展困境也是教师实现价值的关键。据此，学校联合南海区九江职校、南海一职，自2018年7月起探索“名师引航 赛研驱动 双师筑基”三位一体教师团队成长体系，为中职装备制造类专业教师团队建设提供可复制方案。</w:t>
      </w:r>
    </w:p>
    <w:bookmarkEnd w:id="1"/>
    <w:bookmarkEnd w:id="5"/>
    <w:p w14:paraId="7EE6E83A">
      <w:pPr>
        <w:pStyle w:val="4"/>
        <w:spacing w:before="120" w:after="120" w:line="360" w:lineRule="auto"/>
        <w:rPr>
          <w:rFonts w:ascii="宋体" w:hAnsi="宋体" w:eastAsia="宋体" w:cs="宋体"/>
          <w:color w:val="auto"/>
        </w:rPr>
      </w:pPr>
      <w:bookmarkStart w:id="6" w:name="Xb43c6e6236bd9d2c78233c01b6810c2db6eff5d"/>
      <w:r>
        <w:rPr>
          <w:rFonts w:hint="eastAsia" w:ascii="宋体" w:hAnsi="宋体" w:eastAsia="宋体" w:cs="宋体"/>
          <w:color w:val="auto"/>
        </w:rPr>
        <w:t>二、解决问题的过程与方法</w:t>
      </w:r>
    </w:p>
    <w:p w14:paraId="7B68057C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为</w:t>
      </w:r>
      <w:r>
        <w:rPr>
          <w:rFonts w:hint="eastAsia" w:ascii="宋体" w:hAnsi="宋体" w:eastAsia="宋体" w:cs="宋体"/>
          <w:lang w:eastAsia="zh-CN"/>
        </w:rPr>
        <w:t>解决以上问题</w:t>
      </w:r>
      <w:r>
        <w:rPr>
          <w:rFonts w:hint="eastAsia" w:ascii="宋体" w:hAnsi="宋体" w:eastAsia="宋体" w:cs="宋体"/>
        </w:rPr>
        <w:t>，项目组历经7年实践，分三个阶段构建并深化“三位一体”教师团队成长体系，形成了系统、可落地的改革路径与方法。</w:t>
      </w:r>
    </w:p>
    <w:p w14:paraId="4D3E70B8">
      <w:pPr>
        <w:pStyle w:val="5"/>
        <w:spacing w:before="120" w:after="120" w:line="360" w:lineRule="auto"/>
        <w:rPr>
          <w:rFonts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color w:val="auto"/>
        </w:rPr>
        <w:t>（一）第一阶段：试点探索阶段——聚焦痛点，初步构建培育框架</w:t>
      </w:r>
    </w:p>
    <w:p w14:paraId="6F772B97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以南海区信息技术学校数控专业为试点，针对教师“成长无标杆、创新无动力、实践无平台”的问题，初步搭建培育框架，积累实践经验。</w:t>
      </w:r>
    </w:p>
    <w:p w14:paraId="4FD6EE24">
      <w:pPr>
        <w:pStyle w:val="3"/>
      </w:pPr>
    </w:p>
    <w:p w14:paraId="27E5FC3C">
      <w:pPr>
        <w:pStyle w:val="3"/>
      </w:pPr>
      <w:r>
        <w:drawing>
          <wp:inline distT="0" distB="0" distL="0" distR="0">
            <wp:extent cx="6093460" cy="3384550"/>
            <wp:effectExtent l="0" t="0" r="2540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5930" cy="3386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8E414">
      <w:pPr>
        <w:pStyle w:val="3"/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 xml:space="preserve">2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>“三位一体”教师团队成长体系</w:t>
      </w:r>
      <w:r>
        <w:rPr>
          <w:rFonts w:hint="eastAsia" w:ascii="宋体" w:hAnsi="宋体" w:eastAsia="宋体" w:cs="宋体"/>
          <w:lang w:eastAsia="zh-CN"/>
        </w:rPr>
        <w:t>发展的三个阶段</w:t>
      </w:r>
    </w:p>
    <w:p w14:paraId="2CCC8EAC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bookmarkStart w:id="7" w:name="Xf562068b2d16d476da0cff69e4cc115c0fb8e2d"/>
      <w:r>
        <w:rPr>
          <w:rFonts w:hint="eastAsia" w:ascii="宋体" w:hAnsi="宋体" w:eastAsia="宋体" w:cs="宋体"/>
          <w:b/>
          <w:bCs/>
        </w:rPr>
        <w:t>搭建名师引领初步机制</w:t>
      </w:r>
      <w:r>
        <w:rPr>
          <w:rFonts w:hint="eastAsia" w:ascii="宋体" w:hAnsi="宋体" w:eastAsia="宋体" w:cs="宋体"/>
        </w:rPr>
        <w:t>：依托1名省级数控教学名师，成立首个校级名师工作室，明确“名师带骨干、骨干带全员”的培育思路。开展技能帮扶、教研活动12场，重点培育8名骨干教师，其中2人获“佛山市职工技术能手”称号。同时，邀请8位行业专家组建指导委员会，参与教师培养方案，初步实现产业需求与教学目标的对接。</w:t>
      </w:r>
    </w:p>
    <w:p w14:paraId="54EBBB80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探索赛研驱动基础模式</w:t>
      </w:r>
      <w:r>
        <w:rPr>
          <w:rFonts w:hint="eastAsia" w:ascii="宋体" w:hAnsi="宋体" w:eastAsia="宋体" w:cs="宋体"/>
        </w:rPr>
        <w:t>：组织教师参与省级职业院校教学能力比赛与技能竞赛，首次将竞赛标准拆解为3个实训教学模块，融入实训课程。成立课程研发小组，围绕“数控加工工艺优化”设立1个教学创新课题，形成首个可推广的教学方案。期间，教师团队获省级教学能力比赛二等奖1项，指导学生获省级技能竞赛一等奖1项，初步验证了“竞赛促教学”的可行性。</w:t>
      </w:r>
    </w:p>
    <w:p w14:paraId="7284F670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建立校企实践初步通道</w:t>
      </w:r>
      <w:r>
        <w:rPr>
          <w:rFonts w:hint="eastAsia" w:ascii="宋体" w:hAnsi="宋体" w:eastAsia="宋体" w:cs="宋体"/>
        </w:rPr>
        <w:t>：与3家本地企业签订合作协议，制定《教师企业实践暂行办法》，选派6名教师赴企业实践。同时，邀请企业技术骨干到校开展</w:t>
      </w:r>
      <w:r>
        <w:rPr>
          <w:rFonts w:hint="eastAsia" w:ascii="宋体" w:hAnsi="宋体" w:eastAsia="宋体" w:cs="宋体"/>
          <w:lang w:eastAsia="zh-CN"/>
        </w:rPr>
        <w:t>3场</w:t>
      </w:r>
      <w:r>
        <w:rPr>
          <w:rFonts w:hint="eastAsia" w:ascii="宋体" w:hAnsi="宋体" w:eastAsia="宋体" w:cs="宋体"/>
        </w:rPr>
        <w:t>“企业技术进校园”培训，覆盖智能制造、数控加工等前沿技术，初步缓解教师产业技术脱节问题。</w:t>
      </w:r>
    </w:p>
    <w:bookmarkEnd w:id="7"/>
    <w:p w14:paraId="71EF17D4">
      <w:pPr>
        <w:pStyle w:val="5"/>
        <w:spacing w:before="120" w:after="120" w:line="360" w:lineRule="auto"/>
        <w:rPr>
          <w:rFonts w:ascii="宋体" w:hAnsi="宋体" w:eastAsia="宋体" w:cs="宋体"/>
          <w:color w:val="auto"/>
        </w:rPr>
      </w:pPr>
      <w:bookmarkStart w:id="8" w:name="X64072e45f14f84761a067bc99693bbf71282cc7"/>
      <w:r>
        <w:rPr>
          <w:rFonts w:hint="eastAsia" w:ascii="宋体" w:hAnsi="宋体" w:eastAsia="宋体" w:cs="宋体"/>
          <w:color w:val="auto"/>
        </w:rPr>
        <w:t>（二）第二阶段：体系完善阶段——系统整合，形成“三位一体”完整体系</w:t>
      </w:r>
    </w:p>
    <w:p w14:paraId="7C7204A4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在试点探索基础上，项目组联合另外两所学校，进一步优化培育机制，形成“名师引航、赛研驱动、双师筑基”深度融合的完整体系，并制定配套保障</w:t>
      </w:r>
      <w:r>
        <w:rPr>
          <w:rFonts w:hint="eastAsia" w:ascii="宋体" w:hAnsi="宋体" w:eastAsia="宋体" w:cs="宋体"/>
          <w:lang w:eastAsia="zh-CN"/>
        </w:rPr>
        <w:t>制度</w:t>
      </w:r>
      <w:r>
        <w:rPr>
          <w:rFonts w:hint="eastAsia" w:ascii="宋体" w:hAnsi="宋体" w:eastAsia="宋体" w:cs="宋体"/>
        </w:rPr>
        <w:t>。</w:t>
      </w:r>
    </w:p>
    <w:p w14:paraId="3D2905AF">
      <w:pPr>
        <w:numPr>
          <w:ilvl w:val="0"/>
          <w:numId w:val="1"/>
        </w:numPr>
        <w:spacing w:before="120" w:after="120" w:line="360" w:lineRule="auto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深化“名师引航”体系建设</w:t>
      </w:r>
    </w:p>
    <w:p w14:paraId="69CBD906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构建“1+N”三级引领架构</w:t>
      </w:r>
      <w:r>
        <w:rPr>
          <w:rFonts w:hint="eastAsia" w:ascii="宋体" w:hAnsi="宋体" w:eastAsia="宋体" w:cs="宋体"/>
        </w:rPr>
        <w:t>：以1名省级数控教学名师为核心，三校各建3个校级名师工作室，每工作室辐射8-10名青年教师，形成“省级名师-校级工作室-青年教师”链条，明确职责。</w:t>
      </w:r>
    </w:p>
    <w:p w14:paraId="4C519BD6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搭建“名师资源库”</w:t>
      </w:r>
      <w:r>
        <w:rPr>
          <w:rFonts w:hint="eastAsia" w:ascii="宋体" w:hAnsi="宋体" w:eastAsia="宋体" w:cs="宋体"/>
        </w:rPr>
        <w:t>：整合省级名师、行业专家、企业骨干的经验，建立包含“成长路径指南、教学案例库、技能标准手册”的资源库，明确教师“新手-骨干-名师”三阶段目标，开展</w:t>
      </w:r>
      <w:r>
        <w:rPr>
          <w:rFonts w:hint="eastAsia" w:ascii="宋体" w:hAnsi="宋体" w:eastAsia="宋体" w:cs="宋体"/>
          <w:lang w:eastAsia="zh-CN"/>
        </w:rPr>
        <w:t>了</w:t>
      </w:r>
      <w:r>
        <w:rPr>
          <w:rFonts w:hint="eastAsia" w:ascii="宋体" w:hAnsi="宋体" w:eastAsia="宋体" w:cs="宋体"/>
        </w:rPr>
        <w:t>30场校内帮扶研讨，培育8名教师骨干，团队</w:t>
      </w:r>
      <w:r>
        <w:rPr>
          <w:rFonts w:hint="eastAsia" w:ascii="宋体" w:hAnsi="宋体" w:eastAsia="宋体" w:cs="宋体"/>
          <w:lang w:eastAsia="zh-CN"/>
        </w:rPr>
        <w:t>荣</w:t>
      </w:r>
      <w:r>
        <w:rPr>
          <w:rFonts w:hint="eastAsia" w:ascii="宋体" w:hAnsi="宋体" w:eastAsia="宋体" w:cs="宋体"/>
        </w:rPr>
        <w:t>获“佛山市优秀</w:t>
      </w:r>
      <w:r>
        <w:rPr>
          <w:rFonts w:hint="eastAsia" w:ascii="宋体" w:hAnsi="宋体" w:eastAsia="宋体" w:cs="宋体"/>
          <w:lang w:eastAsia="zh-CN"/>
        </w:rPr>
        <w:t>教研</w:t>
      </w:r>
      <w:r>
        <w:rPr>
          <w:rFonts w:hint="eastAsia" w:ascii="宋体" w:hAnsi="宋体" w:eastAsia="宋体" w:cs="宋体"/>
        </w:rPr>
        <w:t>组”。</w:t>
      </w:r>
    </w:p>
    <w:p w14:paraId="19AEDFAA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强化行业专家深度参与</w:t>
      </w:r>
      <w:r>
        <w:rPr>
          <w:rFonts w:hint="eastAsia" w:ascii="宋体" w:hAnsi="宋体" w:eastAsia="宋体" w:cs="宋体"/>
        </w:rPr>
        <w:t>：指导委员</w:t>
      </w:r>
      <w:r>
        <w:rPr>
          <w:rFonts w:hint="eastAsia" w:ascii="宋体" w:hAnsi="宋体" w:eastAsia="宋体" w:cs="宋体"/>
          <w:lang w:eastAsia="zh-CN"/>
        </w:rPr>
        <w:t>会</w:t>
      </w:r>
      <w:r>
        <w:rPr>
          <w:rFonts w:hint="eastAsia" w:ascii="宋体" w:hAnsi="宋体" w:eastAsia="宋体" w:cs="宋体"/>
        </w:rPr>
        <w:t>定期参与教师培养方案修订、课程标准制定等，实现教学与产业技术同步更新。</w:t>
      </w:r>
    </w:p>
    <w:p w14:paraId="77A9E2D9">
      <w:pPr>
        <w:numPr>
          <w:ilvl w:val="0"/>
          <w:numId w:val="1"/>
        </w:numPr>
        <w:spacing w:before="120" w:after="120" w:line="360" w:lineRule="auto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构建“赛研驱动”闭环机制</w:t>
      </w:r>
    </w:p>
    <w:p w14:paraId="4B708F26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形成“竞赛引领-成果转化”全流程体系</w:t>
      </w:r>
      <w:r>
        <w:rPr>
          <w:rFonts w:hint="eastAsia" w:ascii="宋体" w:hAnsi="宋体" w:eastAsia="宋体" w:cs="宋体"/>
        </w:rPr>
        <w:t>：建立全覆盖竞赛参与机制，将竞赛内容与教学重点深度绑定。制定《竞赛成果转化管理办法》，要求获奖团队完成成果</w:t>
      </w:r>
      <w:r>
        <w:rPr>
          <w:rFonts w:hint="eastAsia" w:ascii="宋体" w:hAnsi="宋体" w:eastAsia="宋体" w:cs="宋体"/>
          <w:lang w:eastAsia="zh-CN"/>
        </w:rPr>
        <w:t>转化</w:t>
      </w:r>
      <w:r>
        <w:rPr>
          <w:rFonts w:hint="eastAsia" w:ascii="宋体" w:hAnsi="宋体" w:eastAsia="宋体" w:cs="宋体"/>
        </w:rPr>
        <w:t>，形成标准化教学方案、操作视频等资源，纳入学校教学资源库。期间，团队获国家级教学能力比赛奖项1项、省级4项，指导学生获国家级技能竞赛奖项5项，转化竞赛成果为教学资源12项。</w:t>
      </w:r>
    </w:p>
    <w:p w14:paraId="3830896F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  <w:highlight w:val="yellow"/>
        </w:rPr>
      </w:pPr>
      <w:r>
        <w:rPr>
          <w:rFonts w:hint="eastAsia" w:ascii="宋体" w:hAnsi="宋体" w:eastAsia="宋体" w:cs="宋体"/>
          <w:b/>
          <w:bCs/>
        </w:rPr>
        <w:t>建立“课题研究-教学应用”支撑体系</w:t>
      </w:r>
      <w:r>
        <w:rPr>
          <w:rFonts w:hint="eastAsia" w:ascii="宋体" w:hAnsi="宋体" w:eastAsia="宋体" w:cs="宋体"/>
        </w:rPr>
        <w:t>：围绕教学、技术难点设“教学创新课题”，要求课题遵循“问题导向、应用导向”，成果需为可推广方案或实训项目。期间，设校级课题14项、市级6项、省级2项，形成可推广方案10个。</w:t>
      </w:r>
    </w:p>
    <w:p w14:paraId="34AD9B57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  <w:highlight w:val="yellow"/>
        </w:rPr>
      </w:pPr>
      <w:r>
        <w:rPr>
          <w:rFonts w:hint="eastAsia" w:ascii="宋体" w:hAnsi="宋体" w:eastAsia="宋体" w:cs="宋体"/>
          <w:b/>
          <w:bCs/>
        </w:rPr>
        <w:t>完善“成果管理-推广分享”保障机制</w:t>
      </w:r>
      <w:r>
        <w:rPr>
          <w:rFonts w:hint="eastAsia" w:ascii="宋体" w:hAnsi="宋体" w:eastAsia="宋体" w:cs="宋体"/>
        </w:rPr>
        <w:t>：建“赛研教成果全生命周期管理平台”，追踪成果全流程；构建“多层次推广体系”，校内月分享、校际季交流、年承办至少1次省市级展示活动。期间，三校开展成果分享会48场、校际交流11次、承办省级竞赛5场，覆盖师生1200人次。</w:t>
      </w:r>
    </w:p>
    <w:p w14:paraId="7F1E5DAD">
      <w:pPr>
        <w:numPr>
          <w:ilvl w:val="0"/>
          <w:numId w:val="1"/>
        </w:numPr>
        <w:spacing w:before="120" w:after="120" w:line="360" w:lineRule="auto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优化“双师筑基”协同体系</w:t>
      </w:r>
    </w:p>
    <w:p w14:paraId="085BF3CB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建立教师企业实践常态化制度</w:t>
      </w:r>
      <w:r>
        <w:rPr>
          <w:rFonts w:hint="eastAsia" w:ascii="宋体" w:hAnsi="宋体" w:eastAsia="宋体" w:cs="宋体"/>
        </w:rPr>
        <w:t>：与10家企业</w:t>
      </w:r>
      <w:r>
        <w:rPr>
          <w:rFonts w:hint="eastAsia" w:ascii="宋体" w:hAnsi="宋体" w:eastAsia="宋体" w:cs="宋体"/>
          <w:lang w:eastAsia="zh-CN"/>
        </w:rPr>
        <w:t>签订</w:t>
      </w:r>
      <w:r>
        <w:rPr>
          <w:rFonts w:hint="eastAsia" w:ascii="宋体" w:hAnsi="宋体" w:eastAsia="宋体" w:cs="宋体"/>
        </w:rPr>
        <w:t>合作协议，制定《教师企业实践</w:t>
      </w:r>
      <w:r>
        <w:rPr>
          <w:rFonts w:hint="eastAsia" w:ascii="宋体" w:hAnsi="宋体" w:eastAsia="宋体" w:cs="宋体"/>
          <w:lang w:eastAsia="zh-CN"/>
        </w:rPr>
        <w:t>计划</w:t>
      </w:r>
      <w:r>
        <w:rPr>
          <w:rFonts w:hint="eastAsia" w:ascii="宋体" w:hAnsi="宋体" w:eastAsia="宋体" w:cs="宋体"/>
        </w:rPr>
        <w:t>》，要求双师型教师每</w:t>
      </w:r>
      <w:r>
        <w:rPr>
          <w:rFonts w:hint="eastAsia" w:ascii="宋体" w:hAnsi="宋体" w:eastAsia="宋体" w:cs="宋体"/>
          <w:lang w:eastAsia="zh-CN"/>
        </w:rPr>
        <w:t>5</w:t>
      </w:r>
      <w:r>
        <w:rPr>
          <w:rFonts w:hint="eastAsia" w:ascii="宋体" w:hAnsi="宋体" w:eastAsia="宋体" w:cs="宋体"/>
        </w:rPr>
        <w:t>年赴企实践不少于6个月，新手教师入职前完成3个月企业实践。引入企业技术骨干驻校任教，实现“校企师资互聘互用”。</w:t>
      </w:r>
    </w:p>
    <w:p w14:paraId="5C793B8A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搭建“分层分类”能力提升平台</w:t>
      </w:r>
      <w:r>
        <w:rPr>
          <w:rFonts w:hint="eastAsia" w:ascii="宋体" w:hAnsi="宋体" w:eastAsia="宋体" w:cs="宋体"/>
        </w:rPr>
        <w:t>：按教师类型设计培育路径——新教师靠“师徒结对+企业跟岗”练“教学基本功+企业实践”，在职教师借课题研究、企业攻关提“教学创新+技术升级”能力，骨干教师以名师工作室、校际培训发挥“竞赛指导+成果辐射”作用。期间开展新教师培训11期、在职教师技术培训9期、骨干教师提升培训8期，覆盖210人次。</w:t>
      </w:r>
    </w:p>
    <w:p w14:paraId="553EDF71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建立“考核激励”保障机制</w:t>
      </w:r>
      <w:r>
        <w:rPr>
          <w:rFonts w:hint="eastAsia" w:ascii="宋体" w:hAnsi="宋体" w:eastAsia="宋体" w:cs="宋体"/>
        </w:rPr>
        <w:t>：从三维度发力——能力评估</w:t>
      </w:r>
      <w:r>
        <w:rPr>
          <w:rFonts w:hint="eastAsia" w:ascii="宋体" w:hAnsi="宋体" w:eastAsia="宋体" w:cs="宋体"/>
          <w:lang w:eastAsia="zh-CN"/>
        </w:rPr>
        <w:t>方面</w:t>
      </w:r>
      <w:r>
        <w:rPr>
          <w:rFonts w:hint="eastAsia" w:ascii="宋体" w:hAnsi="宋体" w:eastAsia="宋体" w:cs="宋体"/>
        </w:rPr>
        <w:t>将“双师素养”“赛研成果”纳入年度考核；奖励扶持</w:t>
      </w:r>
      <w:r>
        <w:rPr>
          <w:rFonts w:hint="eastAsia" w:ascii="宋体" w:hAnsi="宋体" w:eastAsia="宋体" w:cs="宋体"/>
          <w:lang w:eastAsia="zh-CN"/>
        </w:rPr>
        <w:t>方面</w:t>
      </w:r>
      <w:r>
        <w:rPr>
          <w:rFonts w:hint="eastAsia" w:ascii="宋体" w:hAnsi="宋体" w:eastAsia="宋体" w:cs="宋体"/>
        </w:rPr>
        <w:t>对获省级以上奖项、完成企业实践的教师给绩效奖励并优先推职称；动态优化</w:t>
      </w:r>
      <w:r>
        <w:rPr>
          <w:rFonts w:hint="eastAsia" w:ascii="宋体" w:hAnsi="宋体" w:eastAsia="宋体" w:cs="宋体"/>
          <w:lang w:eastAsia="zh-CN"/>
        </w:rPr>
        <w:t>方面</w:t>
      </w:r>
      <w:r>
        <w:rPr>
          <w:rFonts w:hint="eastAsia" w:ascii="宋体" w:hAnsi="宋体" w:eastAsia="宋体" w:cs="宋体"/>
        </w:rPr>
        <w:t>按年度教师数据、企业反馈</w:t>
      </w:r>
      <w:r>
        <w:rPr>
          <w:rFonts w:hint="eastAsia" w:ascii="宋体" w:hAnsi="宋体" w:eastAsia="宋体" w:cs="宋体"/>
          <w:lang w:val="en-US" w:eastAsia="zh-CN"/>
        </w:rPr>
        <w:t>调整</w:t>
      </w:r>
      <w:r>
        <w:rPr>
          <w:rFonts w:hint="eastAsia" w:ascii="宋体" w:hAnsi="宋体" w:eastAsia="宋体" w:cs="宋体"/>
        </w:rPr>
        <w:t>培育方案。期间双师型教师比例从42%升至85%，教师参与实践、竞赛研究积极性显著提高</w:t>
      </w:r>
      <w:r>
        <w:rPr>
          <w:rFonts w:hint="eastAsia" w:ascii="宋体" w:hAnsi="宋体" w:eastAsia="宋体" w:cs="宋体"/>
          <w:lang w:eastAsia="zh-CN"/>
        </w:rPr>
        <w:t>。</w:t>
      </w:r>
    </w:p>
    <w:bookmarkEnd w:id="8"/>
    <w:p w14:paraId="12DA8C9B">
      <w:pPr>
        <w:pStyle w:val="5"/>
        <w:spacing w:before="120" w:after="120" w:line="360" w:lineRule="auto"/>
        <w:jc w:val="both"/>
        <w:rPr>
          <w:rFonts w:ascii="宋体" w:hAnsi="宋体" w:eastAsia="宋体" w:cs="宋体"/>
          <w:color w:val="auto"/>
        </w:rPr>
      </w:pPr>
      <w:bookmarkStart w:id="9" w:name="Xc2f9d11207b6dd756ddd50bb7af2a3f3f6a7cf0"/>
      <w:r>
        <w:rPr>
          <w:rFonts w:hint="eastAsia" w:ascii="宋体" w:hAnsi="宋体" w:eastAsia="宋体" w:cs="宋体"/>
          <w:color w:val="auto"/>
        </w:rPr>
        <w:t>（三）第三阶段：辐射</w:t>
      </w:r>
      <w:bookmarkStart w:id="38" w:name="_GoBack"/>
      <w:bookmarkEnd w:id="38"/>
      <w:r>
        <w:rPr>
          <w:rFonts w:hint="eastAsia" w:ascii="宋体" w:hAnsi="宋体" w:eastAsia="宋体" w:cs="宋体"/>
          <w:color w:val="auto"/>
        </w:rPr>
        <w:t>推广阶段——成果输出，扩大区域影响力</w:t>
      </w:r>
    </w:p>
    <w:p w14:paraId="6550C0DE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项目组通过校际交流、专题培训、媒体宣传等方式，向</w:t>
      </w:r>
      <w:r>
        <w:rPr>
          <w:rFonts w:hint="eastAsia" w:ascii="宋体" w:hAnsi="宋体" w:eastAsia="宋体" w:cs="宋体"/>
          <w:lang w:eastAsia="zh-CN"/>
        </w:rPr>
        <w:t>省内外</w:t>
      </w:r>
      <w:r>
        <w:rPr>
          <w:rFonts w:hint="eastAsia" w:ascii="宋体" w:hAnsi="宋体" w:eastAsia="宋体" w:cs="宋体"/>
        </w:rPr>
        <w:t>兄弟院校推广“三位一体”教师团队成长体系，并进一步优化完善。</w:t>
      </w:r>
    </w:p>
    <w:p w14:paraId="6603E514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  <w:highlight w:val="yellow"/>
        </w:rPr>
      </w:pPr>
      <w:r>
        <w:rPr>
          <w:rFonts w:hint="eastAsia" w:ascii="宋体" w:hAnsi="宋体" w:eastAsia="宋体" w:cs="宋体"/>
          <w:b/>
          <w:bCs/>
        </w:rPr>
        <w:t>开展校际推广与培训</w:t>
      </w:r>
      <w:r>
        <w:rPr>
          <w:rFonts w:hint="eastAsia" w:ascii="宋体" w:hAnsi="宋体" w:eastAsia="宋体" w:cs="宋体"/>
        </w:rPr>
        <w:t>：与</w:t>
      </w:r>
      <w:r>
        <w:rPr>
          <w:rFonts w:hint="eastAsia" w:ascii="宋体" w:hAnsi="宋体" w:eastAsia="宋体" w:cs="宋体"/>
          <w:lang w:eastAsia="zh-CN"/>
        </w:rPr>
        <w:t>省内外</w:t>
      </w:r>
      <w:r>
        <w:rPr>
          <w:rFonts w:hint="eastAsia" w:ascii="宋体" w:hAnsi="宋体" w:eastAsia="宋体" w:cs="宋体"/>
        </w:rPr>
        <w:t>7所院校合作，通过12场专题培训、18批次跟岗学习输出核心经验，培训外校教师156人次、覆盖教师230人次。如助韶关中职建首个校级教学资源库，使其教师教学能力比赛获奖数同比升50%。</w:t>
      </w:r>
    </w:p>
    <w:p w14:paraId="3E7827B4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承办高层次竞赛与展示活动</w:t>
      </w:r>
      <w:r>
        <w:rPr>
          <w:rFonts w:hint="eastAsia" w:ascii="宋体" w:hAnsi="宋体" w:eastAsia="宋体" w:cs="宋体"/>
        </w:rPr>
        <w:t>：承办5场国家省市级技能竞赛，覆盖师生超2000人次；举办2场成果展示会，邀请50余所院校参会，展示“三位一体”体系案例与成效，获广泛认可。</w:t>
      </w:r>
    </w:p>
    <w:p w14:paraId="5FD0F346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加强媒体宣传与经验总结</w:t>
      </w:r>
      <w:r>
        <w:rPr>
          <w:rFonts w:hint="eastAsia" w:ascii="宋体" w:hAnsi="宋体" w:eastAsia="宋体" w:cs="宋体"/>
        </w:rPr>
        <w:t>：相关经验获10余次媒体报道，经验获“广东省高水平中职学校建设项目优秀案例”等认定，扩大成果影响力。</w:t>
      </w:r>
    </w:p>
    <w:bookmarkEnd w:id="6"/>
    <w:bookmarkEnd w:id="9"/>
    <w:p w14:paraId="3954CDE3">
      <w:pPr>
        <w:pStyle w:val="4"/>
        <w:spacing w:before="120" w:after="120" w:line="360" w:lineRule="auto"/>
        <w:rPr>
          <w:rFonts w:ascii="宋体" w:hAnsi="宋体" w:eastAsia="宋体" w:cs="宋体"/>
          <w:color w:val="auto"/>
        </w:rPr>
      </w:pPr>
      <w:bookmarkStart w:id="10" w:name="ux4e09ux6210ux679cux521bux65b0ux70b9"/>
      <w:r>
        <w:rPr>
          <w:rFonts w:hint="eastAsia" w:ascii="宋体" w:hAnsi="宋体" w:eastAsia="宋体" w:cs="宋体"/>
          <w:color w:val="auto"/>
        </w:rPr>
        <w:t>三、成果创新点</w:t>
      </w:r>
    </w:p>
    <w:p w14:paraId="0DC93456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“名师引航 赛研驱动 双师筑基”三位一体教师团队成长体系，在机制、路径、成果转化三个维度实现了创新，有效破解了中职数控专业教师团队建设的核心问题。</w:t>
      </w:r>
    </w:p>
    <w:p w14:paraId="51F0DD67">
      <w:pPr>
        <w:pStyle w:val="3"/>
        <w:jc w:val="center"/>
      </w:pPr>
      <w:r>
        <w:drawing>
          <wp:inline distT="0" distB="0" distL="0" distR="0">
            <wp:extent cx="5089525" cy="317563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8099" cy="3193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23871">
      <w:pPr>
        <w:pStyle w:val="3"/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 xml:space="preserve">3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 w:ascii="宋体" w:hAnsi="宋体" w:eastAsia="宋体" w:cs="宋体"/>
          <w:lang w:eastAsia="zh-CN"/>
        </w:rPr>
        <w:t>项目三个维度上的创新点</w:t>
      </w:r>
    </w:p>
    <w:p w14:paraId="7F71BA7E">
      <w:pPr>
        <w:pStyle w:val="5"/>
        <w:spacing w:before="120" w:after="120" w:line="360" w:lineRule="auto"/>
        <w:rPr>
          <w:rFonts w:ascii="宋体" w:hAnsi="宋体" w:eastAsia="宋体" w:cs="宋体"/>
          <w:color w:val="auto"/>
        </w:rPr>
      </w:pPr>
      <w:bookmarkStart w:id="11" w:name="Xbdd84926eb007560657b443104f67584899aa08"/>
      <w:r>
        <w:rPr>
          <w:rFonts w:hint="eastAsia" w:ascii="宋体" w:hAnsi="宋体" w:eastAsia="宋体" w:cs="宋体"/>
          <w:color w:val="auto"/>
        </w:rPr>
        <w:t>（一）机制创新：</w:t>
      </w:r>
      <w:bookmarkStart w:id="12" w:name="OLE_LINK29"/>
      <w:r>
        <w:rPr>
          <w:rFonts w:hint="eastAsia" w:ascii="宋体" w:hAnsi="宋体" w:eastAsia="宋体" w:cs="宋体"/>
          <w:color w:val="auto"/>
        </w:rPr>
        <w:t>构建</w:t>
      </w:r>
      <w:bookmarkStart w:id="13" w:name="OLE_LINK32"/>
      <w:r>
        <w:rPr>
          <w:rFonts w:hint="eastAsia" w:ascii="宋体" w:hAnsi="宋体" w:eastAsia="宋体" w:cs="宋体"/>
          <w:color w:val="auto"/>
        </w:rPr>
        <w:t>“三位一体”教师成长与教学提质联动机制</w:t>
      </w:r>
      <w:bookmarkEnd w:id="12"/>
      <w:bookmarkEnd w:id="13"/>
    </w:p>
    <w:p w14:paraId="5C8BA3E0">
      <w:pPr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该体系打破传统教师培训“重形式轻实效”弊端，深度融合“名师引领”辐射作用、“双师培育”产业适配性、“赛研驱动”创新动力，建立“技术提升→教学创新→成果落地→质量优化”闭环机制。</w:t>
      </w:r>
    </w:p>
    <w:p w14:paraId="2EEE8121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lang w:eastAsia="zh-CN"/>
        </w:rPr>
        <w:t>1</w:t>
      </w:r>
      <w:r>
        <w:rPr>
          <w:rFonts w:ascii="宋体" w:hAnsi="宋体" w:eastAsia="宋体" w:cs="宋体"/>
          <w:b/>
          <w:bCs/>
          <w:lang w:eastAsia="zh-CN"/>
        </w:rPr>
        <w:t>.</w:t>
      </w:r>
      <w:r>
        <w:rPr>
          <w:rFonts w:hint="eastAsia" w:ascii="宋体" w:hAnsi="宋体" w:eastAsia="宋体" w:cs="宋体"/>
          <w:b/>
          <w:bCs/>
        </w:rPr>
        <w:t>维度协同</w:t>
      </w:r>
      <w:r>
        <w:rPr>
          <w:rFonts w:hint="eastAsia" w:ascii="宋体" w:hAnsi="宋体" w:eastAsia="宋体" w:cs="宋体"/>
        </w:rPr>
        <w:t>：“名师引航”</w:t>
      </w:r>
      <w:r>
        <w:rPr>
          <w:rFonts w:hint="eastAsia" w:ascii="宋体" w:hAnsi="宋体" w:eastAsia="宋体" w:cs="宋体"/>
          <w:lang w:eastAsia="zh-CN"/>
        </w:rPr>
        <w:t>、</w:t>
      </w:r>
      <w:r>
        <w:rPr>
          <w:rFonts w:hint="eastAsia" w:ascii="宋体" w:hAnsi="宋体" w:eastAsia="宋体" w:cs="宋体"/>
        </w:rPr>
        <w:t>“赛研驱动”</w:t>
      </w:r>
      <w:r>
        <w:rPr>
          <w:rFonts w:hint="eastAsia" w:ascii="宋体" w:hAnsi="宋体" w:eastAsia="宋体" w:cs="宋体"/>
          <w:lang w:eastAsia="zh-CN"/>
        </w:rPr>
        <w:t>、</w:t>
      </w:r>
      <w:r>
        <w:rPr>
          <w:rFonts w:hint="eastAsia" w:ascii="宋体" w:hAnsi="宋体" w:eastAsia="宋体" w:cs="宋体"/>
        </w:rPr>
        <w:t>“双师筑基”三者相互渗透支撑——名师推教师参与赛研与企业实践，赛研需双师实践能力与名师指导，双师素养提升反哺赛研质量与名师引领效果。</w:t>
      </w:r>
    </w:p>
    <w:p w14:paraId="0EDC9281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lang w:eastAsia="zh-CN"/>
        </w:rPr>
        <w:t>2</w:t>
      </w:r>
      <w:r>
        <w:rPr>
          <w:rFonts w:ascii="宋体" w:hAnsi="宋体" w:eastAsia="宋体" w:cs="宋体"/>
          <w:b/>
          <w:bCs/>
          <w:lang w:eastAsia="zh-CN"/>
        </w:rPr>
        <w:t>.</w:t>
      </w:r>
      <w:r>
        <w:rPr>
          <w:rFonts w:hint="eastAsia" w:ascii="宋体" w:hAnsi="宋体" w:eastAsia="宋体" w:cs="宋体"/>
          <w:b/>
          <w:bCs/>
        </w:rPr>
        <w:t>效果关联</w:t>
      </w:r>
      <w:r>
        <w:rPr>
          <w:rFonts w:hint="eastAsia" w:ascii="宋体" w:hAnsi="宋体" w:eastAsia="宋体" w:cs="宋体"/>
        </w:rPr>
        <w:t>：数据显示教师双师型比例与学生1+X证书通过率、企业满意度显著正相关；改革后双师型教师比例从42%升至93.8%，学生1+X证书通过率从65%升至89.5%，毕业生企业满意度从86%升至98%，印证体系能有效将教师成长转化为教学与人才培养质量提升。</w:t>
      </w:r>
    </w:p>
    <w:p w14:paraId="77CAF6E3">
      <w:pPr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</w:p>
    <w:p w14:paraId="790199E9">
      <w:pPr>
        <w:spacing w:before="120" w:after="120" w:line="360" w:lineRule="auto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drawing>
          <wp:inline distT="0" distB="0" distL="0" distR="0">
            <wp:extent cx="5972810" cy="3253105"/>
            <wp:effectExtent l="0" t="0" r="889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25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2FB5B">
      <w:pPr>
        <w:pStyle w:val="3"/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 xml:space="preserve">4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 w:ascii="宋体" w:hAnsi="宋体" w:eastAsia="宋体" w:cs="宋体"/>
          <w:lang w:eastAsia="zh-CN"/>
        </w:rPr>
        <w:t>“三位一体”教师成长与教学提质联动机制</w:t>
      </w:r>
    </w:p>
    <w:bookmarkEnd w:id="11"/>
    <w:p w14:paraId="52951BD9">
      <w:pPr>
        <w:pStyle w:val="5"/>
        <w:spacing w:before="120" w:after="120" w:line="360" w:lineRule="auto"/>
        <w:rPr>
          <w:rFonts w:ascii="宋体" w:hAnsi="宋体" w:eastAsia="宋体" w:cs="宋体"/>
          <w:color w:val="auto"/>
        </w:rPr>
      </w:pPr>
      <w:bookmarkStart w:id="14" w:name="Xb90dd29b8f73f65859a0242b2faf2a3d4d1bde5"/>
      <w:r>
        <w:rPr>
          <w:rFonts w:hint="eastAsia" w:ascii="宋体" w:hAnsi="宋体" w:eastAsia="宋体" w:cs="宋体"/>
          <w:color w:val="auto"/>
        </w:rPr>
        <w:t>（二）路径创新：</w:t>
      </w:r>
      <w:bookmarkStart w:id="15" w:name="OLE_LINK30"/>
      <w:r>
        <w:rPr>
          <w:rFonts w:hint="eastAsia" w:ascii="宋体" w:hAnsi="宋体" w:eastAsia="宋体" w:cs="宋体"/>
          <w:color w:val="auto"/>
        </w:rPr>
        <w:t>打造“</w:t>
      </w:r>
      <w:bookmarkStart w:id="16" w:name="OLE_LINK71"/>
      <w:r>
        <w:rPr>
          <w:rFonts w:hint="eastAsia" w:ascii="宋体" w:hAnsi="宋体" w:eastAsia="宋体" w:cs="宋体"/>
          <w:color w:val="auto"/>
        </w:rPr>
        <w:t>政校行</w:t>
      </w:r>
      <w:r>
        <w:rPr>
          <w:rFonts w:hint="eastAsia" w:ascii="宋体" w:hAnsi="宋体" w:eastAsia="宋体" w:cs="宋体"/>
          <w:color w:val="auto"/>
          <w:lang w:eastAsia="zh-CN"/>
        </w:rPr>
        <w:t>企</w:t>
      </w:r>
      <w:bookmarkEnd w:id="16"/>
      <w:r>
        <w:rPr>
          <w:rFonts w:hint="eastAsia" w:ascii="宋体" w:hAnsi="宋体" w:eastAsia="宋体" w:cs="宋体"/>
          <w:color w:val="auto"/>
        </w:rPr>
        <w:t>深度协同育师”新模式</w:t>
      </w:r>
      <w:bookmarkEnd w:id="15"/>
    </w:p>
    <w:p w14:paraId="49FE157B">
      <w:pPr>
        <w:pStyle w:val="25"/>
        <w:spacing w:before="120" w:after="120" w:line="360" w:lineRule="auto"/>
        <w:ind w:firstLine="480" w:firstLineChars="200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该体系突破传统“校企合作”单一局限，以南海区产教联盟为纽带，</w:t>
      </w:r>
      <w:r>
        <w:rPr>
          <w:rFonts w:hint="eastAsia" w:ascii="宋体" w:hAnsi="宋体" w:eastAsia="宋体" w:cs="宋体"/>
          <w:lang w:eastAsia="zh-CN"/>
        </w:rPr>
        <w:t>构建政校行企</w:t>
      </w:r>
      <w:r>
        <w:rPr>
          <w:rFonts w:hint="eastAsia" w:ascii="宋体" w:hAnsi="宋体" w:eastAsia="宋体" w:cs="宋体"/>
        </w:rPr>
        <w:t>四方深度协同育师路径，破解以往育师资源分散、目标不一、实用性不足问题。</w:t>
      </w:r>
    </w:p>
    <w:p w14:paraId="473868E8">
      <w:pPr>
        <w:spacing w:before="120" w:after="120" w:line="360" w:lineRule="auto"/>
        <w:ind w:firstLine="482" w:firstLineChars="200"/>
        <w:rPr>
          <w:rFonts w:ascii="宋体" w:hAnsi="宋体" w:eastAsia="宋体" w:cs="宋体"/>
        </w:rPr>
      </w:pPr>
      <w:bookmarkStart w:id="17" w:name="OLE_LINK34"/>
      <w:r>
        <w:rPr>
          <w:rFonts w:hint="eastAsia" w:ascii="宋体" w:hAnsi="宋体" w:eastAsia="宋体" w:cs="宋体"/>
          <w:b/>
          <w:bCs/>
          <w:lang w:eastAsia="zh-CN"/>
        </w:rPr>
        <w:t>1</w:t>
      </w:r>
      <w:r>
        <w:rPr>
          <w:rFonts w:ascii="宋体" w:hAnsi="宋体" w:eastAsia="宋体" w:cs="宋体"/>
          <w:b/>
          <w:bCs/>
          <w:lang w:eastAsia="zh-CN"/>
        </w:rPr>
        <w:t>.</w:t>
      </w:r>
      <w:r>
        <w:rPr>
          <w:rFonts w:hint="eastAsia" w:ascii="宋体" w:hAnsi="宋体" w:eastAsia="宋体" w:cs="宋体"/>
          <w:b/>
          <w:bCs/>
        </w:rPr>
        <w:t>四方联动机制</w:t>
      </w:r>
      <w:r>
        <w:rPr>
          <w:rFonts w:hint="eastAsia" w:ascii="宋体" w:hAnsi="宋体" w:eastAsia="宋体" w:cs="宋体"/>
        </w:rPr>
        <w:t>：政府统筹产教资源、纳入规划并投</w:t>
      </w:r>
      <w:r>
        <w:rPr>
          <w:rFonts w:hint="eastAsia" w:ascii="宋体" w:hAnsi="宋体" w:eastAsia="宋体" w:cs="宋体"/>
          <w:lang w:val="en-US" w:eastAsia="zh-CN"/>
        </w:rPr>
        <w:t>入</w:t>
      </w:r>
      <w:r>
        <w:rPr>
          <w:rFonts w:hint="eastAsia" w:ascii="宋体" w:hAnsi="宋体" w:eastAsia="宋体" w:cs="宋体"/>
        </w:rPr>
        <w:t>800余万元专项经费；学校主导育师方案设计实施及成果转化，整合校内资源与教师需求；行业协会提供产业标准、人才数据，参与教师评估标准制定；企业提供实践岗位、技术骨干与生产案例，参与实践指导和资源开发。</w:t>
      </w:r>
    </w:p>
    <w:p w14:paraId="1A256B56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  <w:highlight w:val="yellow"/>
        </w:rPr>
      </w:pPr>
      <w:r>
        <w:rPr>
          <w:rFonts w:hint="eastAsia" w:ascii="宋体" w:hAnsi="宋体" w:eastAsia="宋体" w:cs="宋体"/>
          <w:b/>
          <w:bCs/>
          <w:lang w:eastAsia="zh-CN"/>
        </w:rPr>
        <w:t>2</w:t>
      </w:r>
      <w:r>
        <w:rPr>
          <w:rFonts w:ascii="宋体" w:hAnsi="宋体" w:eastAsia="宋体" w:cs="宋体"/>
          <w:b/>
          <w:bCs/>
          <w:lang w:eastAsia="zh-CN"/>
        </w:rPr>
        <w:t>.</w:t>
      </w:r>
      <w:r>
        <w:rPr>
          <w:rFonts w:hint="eastAsia" w:ascii="宋体" w:hAnsi="宋体" w:eastAsia="宋体" w:cs="宋体"/>
          <w:b/>
          <w:bCs/>
        </w:rPr>
        <w:t>闭环育师流程</w:t>
      </w:r>
      <w:r>
        <w:rPr>
          <w:rFonts w:hint="eastAsia" w:ascii="宋体" w:hAnsi="宋体" w:eastAsia="宋体" w:cs="宋体"/>
        </w:rPr>
        <w:t>：</w:t>
      </w:r>
      <w:bookmarkEnd w:id="17"/>
      <w:r>
        <w:rPr>
          <w:rFonts w:hint="eastAsia" w:ascii="宋体" w:hAnsi="宋体" w:eastAsia="宋体" w:cs="宋体"/>
        </w:rPr>
        <w:t>四方围绕“目标一致、资源整合、责任共担”形成闭环</w:t>
      </w:r>
      <w:r>
        <w:rPr>
          <w:rFonts w:hint="eastAsia" w:ascii="宋体" w:hAnsi="宋体" w:eastAsia="宋体" w:cs="宋体"/>
          <w:lang w:eastAsia="zh-CN"/>
        </w:rPr>
        <w:t>。</w:t>
      </w:r>
      <w:r>
        <w:rPr>
          <w:rFonts w:hint="eastAsia" w:ascii="宋体" w:hAnsi="宋体" w:eastAsia="宋体" w:cs="宋体"/>
        </w:rPr>
        <w:t>年初共定育师重点，年中企业供平台、行业供指导、学校抓实施、政府督过程，年末共评成效并调</w:t>
      </w:r>
      <w:r>
        <w:rPr>
          <w:rFonts w:hint="eastAsia" w:ascii="宋体" w:hAnsi="宋体" w:eastAsia="宋体" w:cs="宋体"/>
          <w:lang w:val="en-US" w:eastAsia="zh-CN"/>
        </w:rPr>
        <w:t>整</w:t>
      </w:r>
      <w:r>
        <w:rPr>
          <w:rFonts w:hint="eastAsia" w:ascii="宋体" w:hAnsi="宋体" w:eastAsia="宋体" w:cs="宋体"/>
        </w:rPr>
        <w:t>计划。</w:t>
      </w:r>
    </w:p>
    <w:p w14:paraId="321C53E2">
      <w:pPr>
        <w:spacing w:before="120" w:after="120" w:line="360" w:lineRule="auto"/>
        <w:jc w:val="center"/>
        <w:rPr>
          <w:rFonts w:ascii="宋体" w:hAnsi="宋体" w:eastAsia="宋体" w:cs="宋体"/>
          <w:highlight w:val="yellow"/>
        </w:rPr>
      </w:pPr>
      <w:r>
        <w:rPr>
          <w:rFonts w:ascii="宋体" w:hAnsi="宋体" w:eastAsia="宋体" w:cs="宋体"/>
        </w:rPr>
        <w:drawing>
          <wp:inline distT="0" distB="0" distL="0" distR="0">
            <wp:extent cx="4558030" cy="3980180"/>
            <wp:effectExtent l="0" t="0" r="0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2196" cy="4001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E30BEC">
      <w:pPr>
        <w:pStyle w:val="3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 xml:space="preserve">5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 w:ascii="宋体" w:hAnsi="宋体" w:eastAsia="宋体" w:cs="宋体"/>
          <w:lang w:eastAsia="zh-CN"/>
        </w:rPr>
        <w:t>“政校行企深度协同育师”新模式</w:t>
      </w:r>
    </w:p>
    <w:bookmarkEnd w:id="14"/>
    <w:p w14:paraId="3547D516">
      <w:pPr>
        <w:pStyle w:val="5"/>
        <w:spacing w:before="120" w:after="120" w:line="360" w:lineRule="auto"/>
        <w:rPr>
          <w:rFonts w:ascii="宋体" w:hAnsi="宋体" w:eastAsia="宋体" w:cs="宋体"/>
          <w:color w:val="auto"/>
        </w:rPr>
      </w:pPr>
      <w:bookmarkStart w:id="18" w:name="Xb809d452ee9f13531a44d005ececcef3a928f5e"/>
      <w:r>
        <w:rPr>
          <w:rFonts w:hint="eastAsia" w:ascii="宋体" w:hAnsi="宋体" w:eastAsia="宋体" w:cs="宋体"/>
          <w:color w:val="auto"/>
        </w:rPr>
        <w:t>（三）成果转化创新：</w:t>
      </w:r>
      <w:bookmarkStart w:id="19" w:name="OLE_LINK31"/>
      <w:r>
        <w:rPr>
          <w:rFonts w:hint="eastAsia" w:ascii="宋体" w:hAnsi="宋体" w:eastAsia="宋体" w:cs="宋体"/>
          <w:color w:val="auto"/>
        </w:rPr>
        <w:t>建立“竞赛-教学-资源”三维转化体系</w:t>
      </w:r>
      <w:bookmarkEnd w:id="19"/>
    </w:p>
    <w:p w14:paraId="1FC67B4B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该体系打破传统教师成长成果与教学资源脱节壁垒，通过标准化梳理、场景化重构、立体化适配，推动竞赛、实践、研发成果高效转化为教学资源</w:t>
      </w:r>
      <w:r>
        <w:rPr>
          <w:rFonts w:hint="eastAsia" w:ascii="宋体" w:hAnsi="宋体" w:eastAsia="宋体" w:cs="宋体"/>
          <w:lang w:eastAsia="zh-CN"/>
        </w:rPr>
        <w:t>。</w:t>
      </w:r>
    </w:p>
    <w:p w14:paraId="16C7A99F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  <w:highlight w:val="yellow"/>
        </w:rPr>
      </w:pPr>
      <w:r>
        <w:rPr>
          <w:rFonts w:hint="eastAsia" w:ascii="宋体" w:hAnsi="宋体" w:eastAsia="宋体" w:cs="宋体"/>
          <w:b/>
          <w:bCs/>
          <w:lang w:eastAsia="zh-CN"/>
        </w:rPr>
        <w:t>1</w:t>
      </w:r>
      <w:r>
        <w:rPr>
          <w:rFonts w:ascii="宋体" w:hAnsi="宋体" w:eastAsia="宋体" w:cs="宋体"/>
          <w:b/>
          <w:bCs/>
          <w:lang w:eastAsia="zh-CN"/>
        </w:rPr>
        <w:t>.</w:t>
      </w:r>
      <w:r>
        <w:rPr>
          <w:rFonts w:hint="eastAsia" w:ascii="宋体" w:hAnsi="宋体" w:eastAsia="宋体" w:cs="宋体"/>
          <w:b/>
          <w:bCs/>
        </w:rPr>
        <w:t>竞赛成果复用路径创新</w:t>
      </w:r>
      <w:r>
        <w:rPr>
          <w:rFonts w:hint="eastAsia" w:ascii="宋体" w:hAnsi="宋体" w:eastAsia="宋体" w:cs="宋体"/>
        </w:rPr>
        <w:t>：跳出竞赛“荣誉证明”定位，将优质教学方案、技能经验转化为教学资源。</w:t>
      </w:r>
    </w:p>
    <w:p w14:paraId="04C2F1DC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lang w:eastAsia="zh-CN"/>
        </w:rPr>
        <w:t>2</w:t>
      </w:r>
      <w:r>
        <w:rPr>
          <w:rFonts w:ascii="宋体" w:hAnsi="宋体" w:eastAsia="宋体" w:cs="宋体"/>
          <w:b/>
          <w:bCs/>
          <w:lang w:eastAsia="zh-CN"/>
        </w:rPr>
        <w:t>.</w:t>
      </w:r>
      <w:bookmarkStart w:id="20" w:name="OLE_LINK37"/>
      <w:r>
        <w:rPr>
          <w:rFonts w:hint="eastAsia" w:ascii="宋体" w:hAnsi="宋体" w:eastAsia="宋体" w:cs="宋体"/>
          <w:b/>
          <w:bCs/>
        </w:rPr>
        <w:t>实践场景教学转化模式创新</w:t>
      </w:r>
      <w:bookmarkEnd w:id="20"/>
      <w:r>
        <w:rPr>
          <w:rFonts w:hint="eastAsia" w:ascii="宋体" w:hAnsi="宋体" w:eastAsia="宋体" w:cs="宋体"/>
        </w:rPr>
        <w:t>：摒弃“碎片化引用”，对教师企业实践的真实场景进行“技术拆解→教学重构→考核设计”，转化为系统化实训项目。</w:t>
      </w:r>
    </w:p>
    <w:p w14:paraId="021B4CF4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lang w:eastAsia="zh-CN"/>
        </w:rPr>
        <w:t>3</w:t>
      </w:r>
      <w:r>
        <w:rPr>
          <w:rFonts w:ascii="宋体" w:hAnsi="宋体" w:eastAsia="宋体" w:cs="宋体"/>
          <w:b/>
          <w:bCs/>
          <w:lang w:eastAsia="zh-CN"/>
        </w:rPr>
        <w:t>.</w:t>
      </w:r>
      <w:bookmarkStart w:id="21" w:name="OLE_LINK40"/>
      <w:r>
        <w:rPr>
          <w:rFonts w:hint="eastAsia" w:ascii="宋体" w:hAnsi="宋体" w:eastAsia="宋体" w:cs="宋体"/>
          <w:b/>
          <w:bCs/>
        </w:rPr>
        <w:t>研发成果教学适配机制创新</w:t>
      </w:r>
      <w:bookmarkEnd w:id="21"/>
      <w:r>
        <w:rPr>
          <w:rFonts w:hint="eastAsia" w:ascii="宋体" w:hAnsi="宋体" w:eastAsia="宋体" w:cs="宋体"/>
        </w:rPr>
        <w:t>：突破技术研发与教学壁垒，将课题研究、企业攻关成果拆解为“原理+实操+案例”的立体化资源，让前沿技术进课堂。</w:t>
      </w:r>
    </w:p>
    <w:p w14:paraId="4BE7CF9C">
      <w:pPr>
        <w:pStyle w:val="3"/>
        <w:jc w:val="center"/>
      </w:pPr>
      <w:r>
        <w:drawing>
          <wp:inline distT="0" distB="0" distL="0" distR="0">
            <wp:extent cx="5613400" cy="341503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4539" cy="3422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64035">
      <w:pPr>
        <w:pStyle w:val="3"/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 xml:space="preserve">6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 w:ascii="宋体" w:hAnsi="宋体" w:eastAsia="宋体" w:cs="宋体"/>
          <w:lang w:eastAsia="zh-CN"/>
        </w:rPr>
        <w:t>“竞赛-教学-资源”三维成果转化体系</w:t>
      </w:r>
    </w:p>
    <w:bookmarkEnd w:id="10"/>
    <w:bookmarkEnd w:id="18"/>
    <w:p w14:paraId="3F6CF49B">
      <w:pPr>
        <w:pStyle w:val="4"/>
        <w:spacing w:before="120" w:after="120" w:line="360" w:lineRule="auto"/>
        <w:jc w:val="both"/>
        <w:rPr>
          <w:rFonts w:ascii="宋体" w:hAnsi="宋体" w:eastAsia="宋体" w:cs="宋体"/>
          <w:color w:val="auto"/>
        </w:rPr>
      </w:pPr>
      <w:bookmarkStart w:id="22" w:name="X244789ca3a9decee55007401582bd1f4da2a522"/>
      <w:r>
        <w:rPr>
          <w:rFonts w:hint="eastAsia" w:ascii="宋体" w:hAnsi="宋体" w:eastAsia="宋体" w:cs="宋体"/>
          <w:color w:val="auto"/>
        </w:rPr>
        <w:t>四、成果的应用效果</w:t>
      </w:r>
    </w:p>
    <w:p w14:paraId="7B6A6BA7">
      <w:pPr>
        <w:pStyle w:val="25"/>
        <w:spacing w:before="120" w:after="120" w:line="360" w:lineRule="auto"/>
        <w:ind w:firstLine="480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“名师引航 赛研驱动 双师筑基”三位一体教师团队成长体系经实践，在三所实施学校取得显著成效</w:t>
      </w:r>
      <w:r>
        <w:rPr>
          <w:rFonts w:hint="eastAsia" w:ascii="宋体" w:hAnsi="宋体" w:eastAsia="宋体" w:cs="宋体"/>
          <w:lang w:eastAsia="zh-CN"/>
        </w:rPr>
        <w:t>。</w:t>
      </w:r>
    </w:p>
    <w:p w14:paraId="674A6662">
      <w:pPr>
        <w:pStyle w:val="3"/>
        <w:jc w:val="both"/>
      </w:pPr>
      <w:r>
        <w:drawing>
          <wp:inline distT="0" distB="0" distL="0" distR="0">
            <wp:extent cx="6201410" cy="2981960"/>
            <wp:effectExtent l="0" t="0" r="8890" b="889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8312" cy="2985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5DE7A">
      <w:pPr>
        <w:pStyle w:val="3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 xml:space="preserve">7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 w:ascii="宋体" w:hAnsi="宋体" w:eastAsia="宋体" w:cs="宋体"/>
          <w:lang w:eastAsia="zh-CN"/>
        </w:rPr>
        <w:t>三位一体教师团队成长体系应用效果关系图</w:t>
      </w:r>
    </w:p>
    <w:p w14:paraId="18E6F1B9">
      <w:pPr>
        <w:pStyle w:val="5"/>
        <w:spacing w:before="120" w:after="120" w:line="360" w:lineRule="auto"/>
        <w:jc w:val="both"/>
        <w:rPr>
          <w:rFonts w:ascii="宋体" w:hAnsi="宋体" w:eastAsia="宋体" w:cs="宋体"/>
          <w:color w:val="auto"/>
        </w:rPr>
      </w:pPr>
      <w:bookmarkStart w:id="23" w:name="Xfbc0c2f8ed19e1dffae4bf73cc1577b7d448e2d"/>
      <w:r>
        <w:rPr>
          <w:rFonts w:hint="eastAsia" w:ascii="宋体" w:hAnsi="宋体" w:eastAsia="宋体" w:cs="宋体"/>
          <w:color w:val="auto"/>
        </w:rPr>
        <w:t>（一）</w:t>
      </w:r>
      <w:bookmarkStart w:id="24" w:name="OLE_LINK44"/>
      <w:r>
        <w:rPr>
          <w:rFonts w:hint="eastAsia" w:ascii="宋体" w:hAnsi="宋体" w:eastAsia="宋体" w:cs="宋体"/>
          <w:color w:val="auto"/>
        </w:rPr>
        <w:t>校内成效：教学质量与学生培养质量双提升</w:t>
      </w:r>
      <w:bookmarkEnd w:id="24"/>
    </w:p>
    <w:p w14:paraId="198AFC90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bookmarkStart w:id="25" w:name="OLE_LINK46"/>
      <w:r>
        <w:rPr>
          <w:rFonts w:hint="eastAsia" w:ascii="宋体" w:hAnsi="宋体" w:eastAsia="宋体" w:cs="宋体"/>
          <w:b/>
          <w:bCs/>
        </w:rPr>
        <w:t>教师团队专业能力显著增强</w:t>
      </w:r>
      <w:bookmarkEnd w:id="25"/>
      <w:r>
        <w:rPr>
          <w:rFonts w:hint="eastAsia" w:ascii="宋体" w:hAnsi="宋体" w:eastAsia="宋体" w:cs="宋体"/>
        </w:rPr>
        <w:t>：数控专业教师双师型比例从42%升至93.8%；获省级以上竞赛奖项32项；建成省校级名师工作室12个，培育省级教学名师等骨干人才9人，团队素养实现质的飞跃。</w:t>
      </w:r>
    </w:p>
    <w:p w14:paraId="13A13C42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教学资源与教学模式持续优化</w:t>
      </w:r>
      <w:r>
        <w:rPr>
          <w:rFonts w:hint="eastAsia" w:ascii="宋体" w:hAnsi="宋体" w:eastAsia="宋体" w:cs="宋体"/>
        </w:rPr>
        <w:t>：建成2门省级精品在线课程（选课超1.2万人次，学习完成率从68%升至90%）；开发8本新形态教材、16个校企案例、23个实训项目包，形成覆盖多领域的教学资源库</w:t>
      </w:r>
      <w:r>
        <w:rPr>
          <w:rFonts w:hint="eastAsia" w:ascii="宋体" w:hAnsi="宋体" w:eastAsia="宋体" w:cs="宋体"/>
          <w:lang w:eastAsia="zh-CN"/>
        </w:rPr>
        <w:t>。</w:t>
      </w:r>
    </w:p>
    <w:p w14:paraId="2B916447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学生培养质量大幅提高</w:t>
      </w:r>
      <w:r>
        <w:rPr>
          <w:rFonts w:hint="eastAsia" w:ascii="宋体" w:hAnsi="宋体" w:eastAsia="宋体" w:cs="宋体"/>
        </w:rPr>
        <w:t>：学生1+X证书通过率达89.5%；获国家级技能竞赛奖项7项、省级12项（含国赛一等奖、世界赛铜奖）；毕业生专业对口率 100%，企业满意度从86%升至98%。</w:t>
      </w:r>
    </w:p>
    <w:p w14:paraId="44C79F0D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专业建设水平持续攀升</w:t>
      </w:r>
      <w:r>
        <w:rPr>
          <w:rFonts w:hint="eastAsia" w:ascii="宋体" w:hAnsi="宋体" w:eastAsia="宋体" w:cs="宋体"/>
        </w:rPr>
        <w:t>：南海区信息技术学校数控专业获评省“双精准”示范专业、省高水平中职专业群牵头专业；建成省级虚拟仿真实训基地1个、1+X考核站点2个、校外教师实践基地4个。</w:t>
      </w:r>
    </w:p>
    <w:bookmarkEnd w:id="23"/>
    <w:p w14:paraId="15FAD3C1">
      <w:pPr>
        <w:pStyle w:val="5"/>
        <w:spacing w:before="120" w:after="120" w:line="360" w:lineRule="auto"/>
        <w:jc w:val="both"/>
        <w:rPr>
          <w:rFonts w:ascii="宋体" w:hAnsi="宋体" w:eastAsia="宋体" w:cs="宋体"/>
          <w:color w:val="auto"/>
        </w:rPr>
      </w:pPr>
      <w:bookmarkStart w:id="26" w:name="Xf4a6f15c78628a60c24333fa168ff74f8e45132"/>
      <w:r>
        <w:rPr>
          <w:rFonts w:hint="eastAsia" w:ascii="宋体" w:hAnsi="宋体" w:eastAsia="宋体" w:cs="宋体"/>
          <w:color w:val="auto"/>
        </w:rPr>
        <w:t>（二）</w:t>
      </w:r>
      <w:bookmarkStart w:id="27" w:name="OLE_LINK45"/>
      <w:r>
        <w:rPr>
          <w:rFonts w:hint="eastAsia" w:ascii="宋体" w:hAnsi="宋体" w:eastAsia="宋体" w:cs="宋体"/>
          <w:color w:val="auto"/>
        </w:rPr>
        <w:t>区域辐射</w:t>
      </w:r>
      <w:bookmarkEnd w:id="27"/>
      <w:r>
        <w:rPr>
          <w:rFonts w:hint="eastAsia" w:ascii="宋体" w:hAnsi="宋体" w:eastAsia="宋体" w:cs="宋体"/>
          <w:color w:val="auto"/>
        </w:rPr>
        <w:t>：形成可复制的实践范式</w:t>
      </w:r>
    </w:p>
    <w:p w14:paraId="5D5EDC04">
      <w:pPr>
        <w:spacing w:before="120" w:after="120" w:line="360" w:lineRule="auto"/>
        <w:jc w:val="center"/>
        <w:rPr>
          <w:rFonts w:ascii="宋体" w:hAnsi="宋体" w:eastAsia="宋体" w:cs="宋体"/>
          <w:highlight w:val="yellow"/>
        </w:rPr>
      </w:pPr>
      <w:bookmarkStart w:id="28" w:name="OLE_LINK47"/>
      <w:r>
        <w:drawing>
          <wp:inline distT="0" distB="0" distL="0" distR="0">
            <wp:extent cx="5123180" cy="2868930"/>
            <wp:effectExtent l="0" t="0" r="1270" b="762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38075" cy="2877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B625E">
      <w:pPr>
        <w:spacing w:before="120" w:after="120" w:line="360" w:lineRule="auto"/>
        <w:ind w:firstLine="480" w:firstLineChars="200"/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8</w:t>
      </w:r>
      <w:r>
        <w:rPr>
          <w:rFonts w:hint="eastAsia"/>
          <w:lang w:val="en-US" w:eastAsia="zh-CN"/>
        </w:rPr>
        <w:t xml:space="preserve">  </w:t>
      </w:r>
      <w:r>
        <w:rPr>
          <w:lang w:eastAsia="zh-CN"/>
        </w:rPr>
        <w:t xml:space="preserve"> </w:t>
      </w:r>
      <w:r>
        <w:rPr>
          <w:rFonts w:hint="eastAsia" w:ascii="宋体" w:hAnsi="宋体" w:eastAsia="宋体" w:cs="宋体"/>
          <w:lang w:eastAsia="zh-CN"/>
        </w:rPr>
        <w:t>三位一体教师团队成长体系具体应用效果</w:t>
      </w:r>
    </w:p>
    <w:p w14:paraId="5F7D1A17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  <w:b/>
          <w:bCs/>
        </w:rPr>
      </w:pPr>
    </w:p>
    <w:p w14:paraId="529A3F18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校际推广成效显著</w:t>
      </w:r>
      <w:bookmarkEnd w:id="28"/>
      <w:r>
        <w:rPr>
          <w:rFonts w:hint="eastAsia" w:ascii="宋体" w:hAnsi="宋体" w:eastAsia="宋体" w:cs="宋体"/>
        </w:rPr>
        <w:t>：成果向</w:t>
      </w:r>
      <w:r>
        <w:rPr>
          <w:rFonts w:hint="eastAsia" w:ascii="宋体" w:hAnsi="宋体" w:eastAsia="宋体" w:cs="宋体"/>
          <w:lang w:eastAsia="zh-CN"/>
        </w:rPr>
        <w:t>省内外</w:t>
      </w:r>
      <w:r>
        <w:rPr>
          <w:rFonts w:hint="eastAsia" w:ascii="宋体" w:hAnsi="宋体" w:eastAsia="宋体" w:cs="宋体"/>
        </w:rPr>
        <w:t>7所院校推广，培训外校教师156人次，输出“双师培育”“赛研驱动”等核心经验12项。</w:t>
      </w:r>
    </w:p>
    <w:p w14:paraId="02736D77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bookmarkStart w:id="29" w:name="OLE_LINK48"/>
      <w:r>
        <w:rPr>
          <w:rFonts w:hint="eastAsia" w:ascii="宋体" w:hAnsi="宋体" w:eastAsia="宋体" w:cs="宋体"/>
          <w:b/>
          <w:bCs/>
        </w:rPr>
        <w:t>赛事与展示活动影响力广泛</w:t>
      </w:r>
      <w:bookmarkEnd w:id="29"/>
      <w:r>
        <w:rPr>
          <w:rFonts w:hint="eastAsia" w:ascii="宋体" w:hAnsi="宋体" w:eastAsia="宋体" w:cs="宋体"/>
        </w:rPr>
        <w:t>：承办5场国家省市级技能竞赛，覆盖师生超2000人次；举办2场教师团队建设成果展示会，吸引省内外50余所院校参会，经验获广泛认可</w:t>
      </w:r>
      <w:r>
        <w:rPr>
          <w:rFonts w:hint="eastAsia" w:ascii="宋体" w:hAnsi="宋体" w:eastAsia="宋体" w:cs="宋体"/>
          <w:lang w:eastAsia="zh-CN"/>
        </w:rPr>
        <w:t>。</w:t>
      </w:r>
    </w:p>
    <w:p w14:paraId="7F4ABF75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bookmarkStart w:id="30" w:name="OLE_LINK49"/>
      <w:r>
        <w:rPr>
          <w:rFonts w:hint="eastAsia" w:ascii="宋体" w:hAnsi="宋体" w:eastAsia="宋体" w:cs="宋体"/>
          <w:b/>
          <w:bCs/>
        </w:rPr>
        <w:t>媒体宣传与案例认定提升影响力</w:t>
      </w:r>
      <w:bookmarkEnd w:id="30"/>
      <w:r>
        <w:rPr>
          <w:rFonts w:hint="eastAsia" w:ascii="宋体" w:hAnsi="宋体" w:eastAsia="宋体" w:cs="宋体"/>
        </w:rPr>
        <w:t>：成果经验获</w:t>
      </w:r>
      <w:r>
        <w:rPr>
          <w:rFonts w:hint="eastAsia" w:ascii="宋体" w:hAnsi="宋体" w:eastAsia="宋体" w:cs="宋体"/>
          <w:lang w:val="en-US" w:eastAsia="zh-CN"/>
        </w:rPr>
        <w:t>CCTV等</w:t>
      </w:r>
      <w:r>
        <w:rPr>
          <w:rFonts w:hint="eastAsia" w:ascii="宋体" w:hAnsi="宋体" w:eastAsia="宋体" w:cs="宋体"/>
        </w:rPr>
        <w:t>主流媒体报道10余次；获“广东省高水平中职学校建设优秀案例”等3项省级认定，成为区域中职教师团队建设标杆。</w:t>
      </w:r>
    </w:p>
    <w:bookmarkEnd w:id="26"/>
    <w:p w14:paraId="523AA714">
      <w:pPr>
        <w:pStyle w:val="5"/>
        <w:numPr>
          <w:ilvl w:val="0"/>
          <w:numId w:val="2"/>
        </w:numPr>
        <w:spacing w:before="120" w:after="120" w:line="360" w:lineRule="auto"/>
        <w:jc w:val="both"/>
        <w:rPr>
          <w:rFonts w:ascii="宋体" w:hAnsi="宋体" w:eastAsia="宋体" w:cs="宋体"/>
          <w:color w:val="auto"/>
        </w:rPr>
      </w:pPr>
      <w:bookmarkStart w:id="31" w:name="X8976c90bef15cbd1ba27ce4771f4ef476d433aa"/>
      <w:r>
        <w:rPr>
          <w:rFonts w:hint="eastAsia" w:ascii="宋体" w:hAnsi="宋体" w:eastAsia="宋体" w:cs="宋体"/>
          <w:color w:val="auto"/>
        </w:rPr>
        <w:t>社会效益：助力区域产业发展与社会服务</w:t>
      </w:r>
    </w:p>
    <w:p w14:paraId="3FCDC63C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bookmarkStart w:id="32" w:name="OLE_LINK50"/>
      <w:r>
        <w:rPr>
          <w:rFonts w:hint="eastAsia" w:ascii="宋体" w:hAnsi="宋体" w:eastAsia="宋体" w:cs="宋体"/>
          <w:b/>
          <w:bCs/>
        </w:rPr>
        <w:t>社会培训与技能鉴定规模扩大</w:t>
      </w:r>
      <w:bookmarkEnd w:id="32"/>
      <w:r>
        <w:rPr>
          <w:rFonts w:hint="eastAsia" w:ascii="宋体" w:hAnsi="宋体" w:eastAsia="宋体" w:cs="宋体"/>
        </w:rPr>
        <w:t>：</w:t>
      </w:r>
      <w:bookmarkStart w:id="33" w:name="OLE_LINK51"/>
      <w:r>
        <w:rPr>
          <w:rFonts w:hint="eastAsia" w:ascii="宋体" w:hAnsi="宋体" w:eastAsia="宋体" w:cs="宋体"/>
        </w:rPr>
        <w:t>三校年均开展社会培训与技能鉴定1500人次，其中为佛山小微企业员工培训800余人次，推动部分企业生产效率提升15%-20%</w:t>
      </w:r>
      <w:r>
        <w:rPr>
          <w:rFonts w:hint="eastAsia" w:ascii="宋体" w:hAnsi="宋体" w:eastAsia="宋体" w:cs="宋体"/>
          <w:lang w:eastAsia="zh-CN"/>
        </w:rPr>
        <w:t>。</w:t>
      </w:r>
    </w:p>
    <w:p w14:paraId="410D49B9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技术服务与产业帮扶成效显著</w:t>
      </w:r>
      <w:bookmarkEnd w:id="33"/>
      <w:r>
        <w:rPr>
          <w:rFonts w:hint="eastAsia" w:ascii="宋体" w:hAnsi="宋体" w:eastAsia="宋体" w:cs="宋体"/>
        </w:rPr>
        <w:t>：教师团队为佛山小微企业提供2次技术革新服务，破解小微企业技术薄弱难题；参与川黔乡村振兴帮扶17次，培养凉山学子45人，助力当地人才振兴与产业发展。</w:t>
      </w:r>
    </w:p>
    <w:p w14:paraId="06360253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  <w:highlight w:val="yellow"/>
        </w:rPr>
      </w:pPr>
      <w:bookmarkStart w:id="34" w:name="OLE_LINK52"/>
      <w:r>
        <w:rPr>
          <w:rFonts w:hint="eastAsia" w:ascii="宋体" w:hAnsi="宋体" w:eastAsia="宋体" w:cs="宋体"/>
          <w:b/>
          <w:bCs/>
        </w:rPr>
        <w:t>产教融合生态持续深化</w:t>
      </w:r>
      <w:bookmarkEnd w:id="34"/>
      <w:r>
        <w:rPr>
          <w:rFonts w:hint="eastAsia" w:ascii="宋体" w:hAnsi="宋体" w:eastAsia="宋体" w:cs="宋体"/>
        </w:rPr>
        <w:t xml:space="preserve">：政校行企共建智能制造产业学院，形成“校企互哺”生态 </w:t>
      </w:r>
      <w:r>
        <w:rPr>
          <w:rFonts w:hint="eastAsia" w:ascii="宋体" w:hAnsi="宋体" w:eastAsia="宋体" w:cs="宋体"/>
          <w:lang w:eastAsia="zh-CN"/>
        </w:rPr>
        <w:t>。</w:t>
      </w:r>
      <w:r>
        <w:rPr>
          <w:rFonts w:hint="eastAsia" w:ascii="宋体" w:hAnsi="宋体" w:eastAsia="宋体" w:cs="宋体"/>
        </w:rPr>
        <w:t>教师团队参与企业技术研发5项、培训员工1825人次、组织企业竞赛4场；企业参与教师培育与教学改革，捐赠设备超500万元，为成果推广提供可持续保障。</w:t>
      </w:r>
    </w:p>
    <w:bookmarkEnd w:id="31"/>
    <w:p w14:paraId="0A9BC248">
      <w:pPr>
        <w:pStyle w:val="5"/>
        <w:spacing w:before="120" w:after="120" w:line="360" w:lineRule="auto"/>
        <w:jc w:val="both"/>
        <w:rPr>
          <w:rFonts w:ascii="宋体" w:hAnsi="宋体" w:eastAsia="宋体" w:cs="宋体"/>
          <w:color w:val="auto"/>
        </w:rPr>
      </w:pPr>
      <w:bookmarkStart w:id="35" w:name="X67ed60044d750e0f5acd704907dcec594299e2c"/>
      <w:r>
        <w:rPr>
          <w:rFonts w:hint="eastAsia" w:ascii="宋体" w:hAnsi="宋体" w:eastAsia="宋体" w:cs="宋体"/>
          <w:color w:val="auto"/>
        </w:rPr>
        <w:t>（四）存在的不足与进一步探索方向</w:t>
      </w:r>
    </w:p>
    <w:p w14:paraId="14217FE2">
      <w:pPr>
        <w:numPr>
          <w:ilvl w:val="0"/>
          <w:numId w:val="3"/>
        </w:numPr>
        <w:spacing w:before="120" w:after="120" w:line="360" w:lineRule="auto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存在的不足</w:t>
      </w:r>
    </w:p>
    <w:p w14:paraId="6433C463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bookmarkStart w:id="36" w:name="OLE_LINK64"/>
      <w:r>
        <w:rPr>
          <w:rFonts w:hint="eastAsia" w:ascii="宋体" w:hAnsi="宋体" w:eastAsia="宋体" w:cs="宋体"/>
          <w:b/>
          <w:bCs/>
        </w:rPr>
        <w:t>区域适配性有待进一步优化</w:t>
      </w:r>
      <w:bookmarkEnd w:id="36"/>
      <w:r>
        <w:rPr>
          <w:rFonts w:hint="eastAsia" w:ascii="宋体" w:hAnsi="宋体" w:eastAsia="宋体" w:cs="宋体"/>
        </w:rPr>
        <w:t>：成果在发达地区推广效果好，但欠发达地区（如粤东西北、中西部院校）因“企业资源不足、教师动力有限”适配难</w:t>
      </w:r>
      <w:r>
        <w:rPr>
          <w:rFonts w:hint="eastAsia" w:ascii="宋体" w:hAnsi="宋体" w:eastAsia="宋体" w:cs="宋体"/>
          <w:lang w:eastAsia="zh-CN"/>
        </w:rPr>
        <w:t>。</w:t>
      </w:r>
    </w:p>
    <w:p w14:paraId="3101E827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数字化育师手段应用不足</w:t>
      </w:r>
      <w:r>
        <w:rPr>
          <w:rFonts w:hint="eastAsia" w:ascii="宋体" w:hAnsi="宋体" w:eastAsia="宋体" w:cs="宋体"/>
        </w:rPr>
        <w:t>：培育以</w:t>
      </w:r>
      <w:r>
        <w:rPr>
          <w:rFonts w:ascii="宋体" w:hAnsi="宋体" w:eastAsia="宋体" w:cs="宋体"/>
        </w:rPr>
        <w:t xml:space="preserve"> “</w:t>
      </w:r>
      <w:r>
        <w:rPr>
          <w:rFonts w:hint="eastAsia" w:ascii="宋体" w:hAnsi="宋体" w:eastAsia="宋体" w:cs="宋体"/>
        </w:rPr>
        <w:t>线下培训、企业实践”为主，虚拟仿真、在线指导等数字化手段少，难满足碎片化、个性化学习需求，育师效率有提升空间。</w:t>
      </w:r>
      <w:r>
        <w:rPr>
          <w:rFonts w:hint="eastAsia" w:ascii="MS Gothic" w:hAnsi="MS Gothic" w:eastAsia="MS Gothic" w:cs="MS Gothic"/>
        </w:rPr>
        <w:t>​</w:t>
      </w:r>
    </w:p>
    <w:p w14:paraId="1437DBF6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成果转化的长效机制需加强</w:t>
      </w:r>
      <w:r>
        <w:rPr>
          <w:rFonts w:hint="eastAsia" w:ascii="宋体" w:hAnsi="宋体" w:eastAsia="宋体" w:cs="宋体"/>
        </w:rPr>
        <w:t>：虽有</w:t>
      </w:r>
      <w:r>
        <w:rPr>
          <w:rFonts w:ascii="宋体" w:hAnsi="宋体" w:eastAsia="宋体" w:cs="宋体"/>
        </w:rPr>
        <w:t>“</w:t>
      </w:r>
      <w:r>
        <w:rPr>
          <w:rFonts w:hint="eastAsia" w:ascii="宋体" w:hAnsi="宋体" w:eastAsia="宋体" w:cs="宋体"/>
        </w:rPr>
        <w:t>竞赛</w:t>
      </w:r>
      <w:r>
        <w:rPr>
          <w:rFonts w:ascii="宋体" w:hAnsi="宋体" w:eastAsia="宋体" w:cs="宋体"/>
        </w:rPr>
        <w:t>-</w:t>
      </w:r>
      <w:r>
        <w:rPr>
          <w:rFonts w:hint="eastAsia" w:ascii="宋体" w:hAnsi="宋体" w:eastAsia="宋体" w:cs="宋体"/>
        </w:rPr>
        <w:t>教学</w:t>
      </w:r>
      <w:r>
        <w:rPr>
          <w:rFonts w:ascii="宋体" w:hAnsi="宋体" w:eastAsia="宋体" w:cs="宋体"/>
        </w:rPr>
        <w:t>-</w:t>
      </w:r>
      <w:r>
        <w:rPr>
          <w:rFonts w:hint="eastAsia" w:ascii="宋体" w:hAnsi="宋体" w:eastAsia="宋体" w:cs="宋体"/>
        </w:rPr>
        <w:t>资源”转化体系，但部分教师</w:t>
      </w:r>
      <w:r>
        <w:rPr>
          <w:rFonts w:ascii="宋体" w:hAnsi="宋体" w:eastAsia="宋体" w:cs="宋体"/>
        </w:rPr>
        <w:t>“</w:t>
      </w:r>
      <w:r>
        <w:rPr>
          <w:rFonts w:hint="eastAsia" w:ascii="宋体" w:hAnsi="宋体" w:eastAsia="宋体" w:cs="宋体"/>
        </w:rPr>
        <w:t>重产生、轻应用”，跟踪反馈与更新优化机制不完善，部分资源应用后滞后。</w:t>
      </w:r>
      <w:r>
        <w:rPr>
          <w:rFonts w:hint="eastAsia" w:ascii="MS Gothic" w:hAnsi="MS Gothic" w:eastAsia="MS Gothic" w:cs="MS Gothic"/>
        </w:rPr>
        <w:t>​</w:t>
      </w:r>
    </w:p>
    <w:p w14:paraId="3424555A">
      <w:pPr>
        <w:spacing w:before="120" w:after="120" w:line="360" w:lineRule="auto"/>
        <w:jc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drawing>
          <wp:inline distT="0" distB="0" distL="0" distR="0">
            <wp:extent cx="5589905" cy="410527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5934" cy="4109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E98A2">
      <w:pPr>
        <w:pStyle w:val="3"/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 xml:space="preserve">9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 w:ascii="宋体" w:hAnsi="宋体" w:eastAsia="宋体" w:cs="宋体"/>
          <w:lang w:eastAsia="zh-CN"/>
        </w:rPr>
        <w:t>存在的不足与进一步探索方向</w:t>
      </w:r>
    </w:p>
    <w:p w14:paraId="2E257D47">
      <w:pPr>
        <w:numPr>
          <w:ilvl w:val="0"/>
          <w:numId w:val="3"/>
        </w:numPr>
        <w:spacing w:before="120" w:after="120" w:line="360" w:lineRule="auto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进一步探索方向</w:t>
      </w:r>
    </w:p>
    <w:p w14:paraId="05B7AB99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构建</w:t>
      </w:r>
      <w:bookmarkStart w:id="37" w:name="OLE_LINK65"/>
      <w:r>
        <w:rPr>
          <w:rFonts w:hint="eastAsia" w:ascii="宋体" w:hAnsi="宋体" w:eastAsia="宋体" w:cs="宋体"/>
          <w:b/>
          <w:bCs/>
        </w:rPr>
        <w:t>区域差异化推广</w:t>
      </w:r>
      <w:bookmarkEnd w:id="37"/>
      <w:r>
        <w:rPr>
          <w:rFonts w:hint="eastAsia" w:ascii="宋体" w:hAnsi="宋体" w:eastAsia="宋体" w:cs="宋体"/>
          <w:b/>
          <w:bCs/>
        </w:rPr>
        <w:t>方案</w:t>
      </w:r>
      <w:r>
        <w:rPr>
          <w:rFonts w:hint="eastAsia" w:ascii="宋体" w:hAnsi="宋体" w:eastAsia="宋体" w:cs="宋体"/>
        </w:rPr>
        <w:t>：基础版</w:t>
      </w:r>
      <w:r>
        <w:rPr>
          <w:rFonts w:hint="eastAsia" w:ascii="宋体" w:hAnsi="宋体" w:eastAsia="宋体" w:cs="宋体"/>
          <w:lang w:eastAsia="zh-CN"/>
        </w:rPr>
        <w:t>：</w:t>
      </w:r>
      <w:r>
        <w:rPr>
          <w:rFonts w:hint="eastAsia" w:ascii="宋体" w:hAnsi="宋体" w:eastAsia="宋体" w:cs="宋体"/>
        </w:rPr>
        <w:t>名师资源共享、线上赛研驱动，借远程指导降企业资源依赖</w:t>
      </w:r>
      <w:r>
        <w:rPr>
          <w:rFonts w:hint="eastAsia" w:ascii="宋体" w:hAnsi="宋体" w:eastAsia="宋体" w:cs="宋体"/>
          <w:lang w:eastAsia="zh-CN"/>
        </w:rPr>
        <w:t>；</w:t>
      </w:r>
      <w:r>
        <w:rPr>
          <w:rFonts w:hint="eastAsia" w:ascii="宋体" w:hAnsi="宋体" w:eastAsia="宋体" w:cs="宋体"/>
        </w:rPr>
        <w:t>升级版</w:t>
      </w:r>
      <w:r>
        <w:rPr>
          <w:rFonts w:hint="eastAsia" w:ascii="宋体" w:hAnsi="宋体" w:eastAsia="宋体" w:cs="宋体"/>
          <w:lang w:eastAsia="zh-CN"/>
        </w:rPr>
        <w:t>：</w:t>
      </w:r>
      <w:r>
        <w:rPr>
          <w:rFonts w:hint="eastAsia" w:ascii="宋体" w:hAnsi="宋体" w:eastAsia="宋体" w:cs="宋体"/>
        </w:rPr>
        <w:t>深度校企协同、全流程转化，适用于企业资源丰富地区，确保不同区域有效落地。</w:t>
      </w:r>
    </w:p>
    <w:p w14:paraId="01E25922">
      <w:pPr>
        <w:spacing w:before="120" w:after="120" w:line="360" w:lineRule="auto"/>
        <w:ind w:firstLine="482" w:firstLineChars="200"/>
        <w:jc w:val="both"/>
        <w:rPr>
          <w:rFonts w:ascii="MS Gothic" w:hAnsi="MS Gothic" w:eastAsia="MS Gothic" w:cs="MS Gothic"/>
        </w:rPr>
      </w:pPr>
      <w:r>
        <w:rPr>
          <w:rFonts w:hint="eastAsia" w:ascii="宋体" w:hAnsi="宋体" w:eastAsia="宋体" w:cs="宋体"/>
          <w:b/>
          <w:bCs/>
        </w:rPr>
        <w:t>深化数字化育师平台建设</w:t>
      </w:r>
      <w:r>
        <w:rPr>
          <w:rFonts w:hint="eastAsia" w:ascii="宋体" w:hAnsi="宋体" w:eastAsia="宋体" w:cs="宋体"/>
        </w:rPr>
        <w:t>：升级</w:t>
      </w:r>
      <w:r>
        <w:rPr>
          <w:rFonts w:ascii="宋体" w:hAnsi="宋体" w:eastAsia="宋体" w:cs="宋体"/>
        </w:rPr>
        <w:t>“</w:t>
      </w:r>
      <w:r>
        <w:rPr>
          <w:rFonts w:hint="eastAsia" w:ascii="宋体" w:hAnsi="宋体" w:eastAsia="宋体" w:cs="宋体"/>
        </w:rPr>
        <w:t>赛研教成果管理平台”，新增虚拟仿真培训、在线名师答疑模块；开发</w:t>
      </w:r>
      <w:r>
        <w:rPr>
          <w:rFonts w:ascii="宋体" w:hAnsi="宋体" w:eastAsia="宋体" w:cs="宋体"/>
        </w:rPr>
        <w:t>“</w:t>
      </w:r>
      <w:r>
        <w:rPr>
          <w:rFonts w:hint="eastAsia" w:ascii="宋体" w:hAnsi="宋体" w:eastAsia="宋体" w:cs="宋体"/>
        </w:rPr>
        <w:t>教师成长大数据系统”，通过数据分析推送个性化培育建议，提升精准性与效率。</w:t>
      </w:r>
      <w:r>
        <w:rPr>
          <w:rFonts w:hint="eastAsia" w:ascii="MS Gothic" w:hAnsi="MS Gothic" w:eastAsia="MS Gothic" w:cs="MS Gothic"/>
        </w:rPr>
        <w:t>​</w:t>
      </w:r>
    </w:p>
    <w:p w14:paraId="62D61031">
      <w:pPr>
        <w:spacing w:before="120" w:after="120" w:line="360" w:lineRule="auto"/>
        <w:ind w:firstLine="482" w:firstLineChars="20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>完善成果转化长效机制</w:t>
      </w:r>
      <w:r>
        <w:rPr>
          <w:rFonts w:hint="eastAsia" w:ascii="宋体" w:hAnsi="宋体" w:eastAsia="宋体" w:cs="宋体"/>
        </w:rPr>
        <w:t>：组建</w:t>
      </w:r>
      <w:r>
        <w:rPr>
          <w:rFonts w:ascii="宋体" w:hAnsi="宋体" w:eastAsia="宋体" w:cs="宋体"/>
        </w:rPr>
        <w:t>“</w:t>
      </w:r>
      <w:r>
        <w:rPr>
          <w:rFonts w:hint="eastAsia" w:ascii="宋体" w:hAnsi="宋体" w:eastAsia="宋体" w:cs="宋体"/>
        </w:rPr>
        <w:t>跟踪反馈小组”（校、企、行业专家组成），每季度评估资源应用效果并优化；设</w:t>
      </w:r>
      <w:r>
        <w:rPr>
          <w:rFonts w:ascii="宋体" w:hAnsi="宋体" w:eastAsia="宋体" w:cs="宋体"/>
        </w:rPr>
        <w:t>“</w:t>
      </w:r>
      <w:r>
        <w:rPr>
          <w:rFonts w:hint="eastAsia" w:ascii="宋体" w:hAnsi="宋体" w:eastAsia="宋体" w:cs="宋体"/>
        </w:rPr>
        <w:t>成果更新专项经费”，支持教师按产业迭代、教学需求升级资源，保障时效性。</w:t>
      </w:r>
      <w:r>
        <w:rPr>
          <w:rFonts w:hint="eastAsia" w:ascii="MS Gothic" w:hAnsi="MS Gothic" w:eastAsia="MS Gothic" w:cs="MS Gothic"/>
        </w:rPr>
        <w:t>​</w:t>
      </w:r>
      <w:bookmarkEnd w:id="0"/>
      <w:bookmarkEnd w:id="22"/>
      <w:bookmarkEnd w:id="35"/>
    </w:p>
    <w:sectPr>
      <w:footerReference r:id="rId4" w:type="default"/>
      <w:pgSz w:w="12240" w:h="15840"/>
      <w:pgMar w:top="1134" w:right="1417" w:bottom="850" w:left="1417" w:header="720" w:footer="72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onsolas">
    <w:panose1 w:val="020B0609020204030204"/>
    <w:charset w:val="00"/>
    <w:family w:val="modern"/>
    <w:pitch w:val="default"/>
    <w:sig w:usb0="E00006FF" w:usb1="0000FCFF" w:usb2="00000001" w:usb3="00000000" w:csb0="6000019F" w:csb1="DFD70000"/>
  </w:font>
  <w:font w:name="MS Gothic">
    <w:panose1 w:val="020B0609070205080204"/>
    <w:charset w:val="80"/>
    <w:family w:val="modern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2053969253"/>
      <w:docPartObj>
        <w:docPartGallery w:val="autotext"/>
      </w:docPartObj>
    </w:sdtPr>
    <w:sdtContent>
      <w:p w14:paraId="5FFA00B5">
        <w:pPr>
          <w:pStyle w:val="15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 w:eastAsia="zh-CN"/>
          </w:rPr>
          <w:t>2</w:t>
        </w:r>
        <w:r>
          <w:fldChar w:fldCharType="end"/>
        </w:r>
      </w:p>
    </w:sdtContent>
  </w:sdt>
  <w:p w14:paraId="2E6CD1E3">
    <w:pPr>
      <w:pStyle w:val="1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A99201"/>
    <w:multiLevelType w:val="multilevel"/>
    <w:tmpl w:val="00A99201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left"/>
      <w:pPr>
        <w:ind w:left="2160" w:hanging="36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left"/>
      <w:pPr>
        <w:ind w:left="4320" w:hanging="36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left"/>
      <w:pPr>
        <w:ind w:left="6480" w:hanging="360"/>
      </w:pPr>
    </w:lvl>
  </w:abstractNum>
  <w:abstractNum w:abstractNumId="1">
    <w:nsid w:val="6D61874A"/>
    <w:multiLevelType w:val="singleLevel"/>
    <w:tmpl w:val="6D61874A"/>
    <w:lvl w:ilvl="0" w:tentative="0">
      <w:start w:val="3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nforcement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0"/>
    <w:footnote w:id="1"/>
  </w:foot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2D"/>
    <w:rsid w:val="00002F8D"/>
    <w:rsid w:val="00031957"/>
    <w:rsid w:val="0005108B"/>
    <w:rsid w:val="00083FC8"/>
    <w:rsid w:val="000858F6"/>
    <w:rsid w:val="000B5ABE"/>
    <w:rsid w:val="000C0338"/>
    <w:rsid w:val="000C4480"/>
    <w:rsid w:val="000E7368"/>
    <w:rsid w:val="00102A86"/>
    <w:rsid w:val="0010610D"/>
    <w:rsid w:val="001156A1"/>
    <w:rsid w:val="00134A61"/>
    <w:rsid w:val="001843E4"/>
    <w:rsid w:val="001873F4"/>
    <w:rsid w:val="001A2E7B"/>
    <w:rsid w:val="001B7864"/>
    <w:rsid w:val="001F02AD"/>
    <w:rsid w:val="0020056A"/>
    <w:rsid w:val="00203D78"/>
    <w:rsid w:val="00227ED9"/>
    <w:rsid w:val="00243EB0"/>
    <w:rsid w:val="002525B9"/>
    <w:rsid w:val="00252FB8"/>
    <w:rsid w:val="00255255"/>
    <w:rsid w:val="002B7EEE"/>
    <w:rsid w:val="002D7748"/>
    <w:rsid w:val="002E5151"/>
    <w:rsid w:val="00305E49"/>
    <w:rsid w:val="00312C63"/>
    <w:rsid w:val="00330245"/>
    <w:rsid w:val="003340E0"/>
    <w:rsid w:val="0035458B"/>
    <w:rsid w:val="00360C41"/>
    <w:rsid w:val="003769E3"/>
    <w:rsid w:val="00395C37"/>
    <w:rsid w:val="003F18AC"/>
    <w:rsid w:val="004161D1"/>
    <w:rsid w:val="0041638D"/>
    <w:rsid w:val="004220A5"/>
    <w:rsid w:val="004327B5"/>
    <w:rsid w:val="00473E46"/>
    <w:rsid w:val="00484E0D"/>
    <w:rsid w:val="004858DE"/>
    <w:rsid w:val="00493D63"/>
    <w:rsid w:val="004A0258"/>
    <w:rsid w:val="004B6B2E"/>
    <w:rsid w:val="00505066"/>
    <w:rsid w:val="00534F27"/>
    <w:rsid w:val="005352F8"/>
    <w:rsid w:val="005452BF"/>
    <w:rsid w:val="0055788D"/>
    <w:rsid w:val="00561587"/>
    <w:rsid w:val="00572A3E"/>
    <w:rsid w:val="00587939"/>
    <w:rsid w:val="00593734"/>
    <w:rsid w:val="005A1646"/>
    <w:rsid w:val="005A57BC"/>
    <w:rsid w:val="005E71F1"/>
    <w:rsid w:val="005F043C"/>
    <w:rsid w:val="00635BFA"/>
    <w:rsid w:val="00645B88"/>
    <w:rsid w:val="0065617C"/>
    <w:rsid w:val="00662E8E"/>
    <w:rsid w:val="0069646D"/>
    <w:rsid w:val="006A76D2"/>
    <w:rsid w:val="006B1FB1"/>
    <w:rsid w:val="006D2DD2"/>
    <w:rsid w:val="006D537A"/>
    <w:rsid w:val="006D64F6"/>
    <w:rsid w:val="006D7B3F"/>
    <w:rsid w:val="006F47E9"/>
    <w:rsid w:val="00744F67"/>
    <w:rsid w:val="0076221C"/>
    <w:rsid w:val="00773271"/>
    <w:rsid w:val="00774C46"/>
    <w:rsid w:val="007A201F"/>
    <w:rsid w:val="007A27C1"/>
    <w:rsid w:val="007C20F3"/>
    <w:rsid w:val="007D46C9"/>
    <w:rsid w:val="0080442D"/>
    <w:rsid w:val="008146A6"/>
    <w:rsid w:val="00840AF9"/>
    <w:rsid w:val="008821B6"/>
    <w:rsid w:val="008A2F8F"/>
    <w:rsid w:val="008C4ABD"/>
    <w:rsid w:val="008E7D10"/>
    <w:rsid w:val="008F42DA"/>
    <w:rsid w:val="0090480A"/>
    <w:rsid w:val="0091351B"/>
    <w:rsid w:val="0091771A"/>
    <w:rsid w:val="00933F0F"/>
    <w:rsid w:val="00966D7B"/>
    <w:rsid w:val="0097778E"/>
    <w:rsid w:val="00982378"/>
    <w:rsid w:val="009B7348"/>
    <w:rsid w:val="009D1868"/>
    <w:rsid w:val="009E5BE6"/>
    <w:rsid w:val="00A06B57"/>
    <w:rsid w:val="00A12926"/>
    <w:rsid w:val="00A1667B"/>
    <w:rsid w:val="00A25CB0"/>
    <w:rsid w:val="00A47F86"/>
    <w:rsid w:val="00A541E4"/>
    <w:rsid w:val="00A56507"/>
    <w:rsid w:val="00A72049"/>
    <w:rsid w:val="00AA1778"/>
    <w:rsid w:val="00AA25E8"/>
    <w:rsid w:val="00AC6747"/>
    <w:rsid w:val="00B017AB"/>
    <w:rsid w:val="00B34FB0"/>
    <w:rsid w:val="00B3677A"/>
    <w:rsid w:val="00B5313C"/>
    <w:rsid w:val="00B553AF"/>
    <w:rsid w:val="00B56E59"/>
    <w:rsid w:val="00B72A73"/>
    <w:rsid w:val="00B91BA5"/>
    <w:rsid w:val="00B9315D"/>
    <w:rsid w:val="00BB3049"/>
    <w:rsid w:val="00BB5E77"/>
    <w:rsid w:val="00C32D68"/>
    <w:rsid w:val="00C57AB6"/>
    <w:rsid w:val="00C8062D"/>
    <w:rsid w:val="00C84C4B"/>
    <w:rsid w:val="00C90EEC"/>
    <w:rsid w:val="00CC5C14"/>
    <w:rsid w:val="00CC7007"/>
    <w:rsid w:val="00D13B6F"/>
    <w:rsid w:val="00D41EA6"/>
    <w:rsid w:val="00D769FD"/>
    <w:rsid w:val="00DA75CC"/>
    <w:rsid w:val="00DC5C18"/>
    <w:rsid w:val="00DD155A"/>
    <w:rsid w:val="00DD1596"/>
    <w:rsid w:val="00DE2A1F"/>
    <w:rsid w:val="00DE5881"/>
    <w:rsid w:val="00DF44F4"/>
    <w:rsid w:val="00E0272D"/>
    <w:rsid w:val="00E5451D"/>
    <w:rsid w:val="00E76528"/>
    <w:rsid w:val="00E939AC"/>
    <w:rsid w:val="00E96140"/>
    <w:rsid w:val="00EA2D88"/>
    <w:rsid w:val="00EA7ADC"/>
    <w:rsid w:val="00EC2FBC"/>
    <w:rsid w:val="00EE5078"/>
    <w:rsid w:val="00F026D1"/>
    <w:rsid w:val="00F33D93"/>
    <w:rsid w:val="00F47842"/>
    <w:rsid w:val="00F65EEF"/>
    <w:rsid w:val="00F9449C"/>
    <w:rsid w:val="00FA32A7"/>
    <w:rsid w:val="00FA7D60"/>
    <w:rsid w:val="00FB1BBC"/>
    <w:rsid w:val="00FB2E64"/>
    <w:rsid w:val="00FB4C0B"/>
    <w:rsid w:val="00FE0533"/>
    <w:rsid w:val="00FF2EAB"/>
    <w:rsid w:val="05814297"/>
    <w:rsid w:val="06B3396B"/>
    <w:rsid w:val="09C676BC"/>
    <w:rsid w:val="0F9E6484"/>
    <w:rsid w:val="1D9064E1"/>
    <w:rsid w:val="1E872463"/>
    <w:rsid w:val="1F286989"/>
    <w:rsid w:val="2A104310"/>
    <w:rsid w:val="2ADF2153"/>
    <w:rsid w:val="301C2AE5"/>
    <w:rsid w:val="349873DC"/>
    <w:rsid w:val="368B28FC"/>
    <w:rsid w:val="39D04EC2"/>
    <w:rsid w:val="48A00EA8"/>
    <w:rsid w:val="554E3DBB"/>
    <w:rsid w:val="5BC719E8"/>
    <w:rsid w:val="64430DDE"/>
    <w:rsid w:val="728704B4"/>
    <w:rsid w:val="729F135A"/>
    <w:rsid w:val="75B25848"/>
    <w:rsid w:val="75BE0476"/>
    <w:rsid w:val="7D6751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iPriority="9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iPriority="9" w:semiHidden="0" w:name="Block Text"/>
    <w:lsdException w:qFormat="1" w:unhideWhenUsed="0" w:uiPriority="0" w:semiHidden="0" w:name="Hyperlink"/>
    <w:lsdException w:unhideWhenUsed="0" w:uiPriority="0" w:semiHidden="0" w:name="FollowedHyperlink"/>
    <w:lsdException w:unhideWhenUsed="0" w:uiPriority="0" w:semiHidden="0" w:name="Strong"/>
    <w:lsdException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/>
    </w:pPr>
    <w:rPr>
      <w:rFonts w:asciiTheme="minorHAnsi" w:hAnsiTheme="minorHAnsi" w:eastAsiaTheme="minorEastAsia" w:cstheme="minorBidi"/>
      <w:sz w:val="24"/>
      <w:szCs w:val="24"/>
      <w:lang w:val="en-US" w:eastAsia="en-US" w:bidi="ar-SA"/>
    </w:rPr>
  </w:style>
  <w:style w:type="paragraph" w:styleId="2">
    <w:name w:val="heading 1"/>
    <w:basedOn w:val="1"/>
    <w:next w:val="3"/>
    <w:qFormat/>
    <w:uiPriority w:val="9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4F81BD" w:themeColor="accent1"/>
      <w:sz w:val="32"/>
      <w:szCs w:val="32"/>
      <w14:textFill>
        <w14:solidFill>
          <w14:schemeClr w14:val="accent1"/>
        </w14:solidFill>
      </w14:textFill>
    </w:rPr>
  </w:style>
  <w:style w:type="paragraph" w:styleId="4">
    <w:name w:val="heading 2"/>
    <w:basedOn w:val="1"/>
    <w:next w:val="3"/>
    <w:unhideWhenUsed/>
    <w:qFormat/>
    <w:uiPriority w:val="9"/>
    <w:pPr>
      <w:keepNext/>
      <w:keepLines/>
      <w:spacing w:before="200" w:after="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8"/>
      <w:szCs w:val="28"/>
      <w14:textFill>
        <w14:solidFill>
          <w14:schemeClr w14:val="accent1"/>
        </w14:solidFill>
      </w14:textFill>
    </w:rPr>
  </w:style>
  <w:style w:type="paragraph" w:styleId="5">
    <w:name w:val="heading 3"/>
    <w:basedOn w:val="1"/>
    <w:next w:val="3"/>
    <w:unhideWhenUsed/>
    <w:qFormat/>
    <w:uiPriority w:val="9"/>
    <w:pPr>
      <w:keepNext/>
      <w:keepLines/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paragraph" w:styleId="6">
    <w:name w:val="heading 4"/>
    <w:basedOn w:val="1"/>
    <w:next w:val="3"/>
    <w:unhideWhenUsed/>
    <w:qFormat/>
    <w:uiPriority w:val="9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Cs/>
      <w:i/>
      <w:color w:val="4F81BD" w:themeColor="accent1"/>
      <w14:textFill>
        <w14:solidFill>
          <w14:schemeClr w14:val="accent1"/>
        </w14:solidFill>
      </w14:textFill>
    </w:rPr>
  </w:style>
  <w:style w:type="paragraph" w:styleId="7">
    <w:name w:val="heading 5"/>
    <w:basedOn w:val="1"/>
    <w:next w:val="3"/>
    <w:unhideWhenUsed/>
    <w:qFormat/>
    <w:uiPriority w:val="9"/>
    <w:pPr>
      <w:keepNext/>
      <w:keepLines/>
      <w:spacing w:before="200" w:after="0"/>
      <w:outlineLvl w:val="4"/>
    </w:pPr>
    <w:rPr>
      <w:rFonts w:asciiTheme="majorHAnsi" w:hAnsiTheme="majorHAnsi" w:eastAsiaTheme="majorEastAsia" w:cstheme="majorBidi"/>
      <w:iCs/>
      <w:color w:val="4F81BD" w:themeColor="accent1"/>
      <w14:textFill>
        <w14:solidFill>
          <w14:schemeClr w14:val="accent1"/>
        </w14:solidFill>
      </w14:textFill>
    </w:rPr>
  </w:style>
  <w:style w:type="paragraph" w:styleId="8">
    <w:name w:val="heading 6"/>
    <w:basedOn w:val="1"/>
    <w:next w:val="3"/>
    <w:unhideWhenUsed/>
    <w:qFormat/>
    <w:uiPriority w:val="9"/>
    <w:pPr>
      <w:keepNext/>
      <w:keepLines/>
      <w:spacing w:before="200" w:after="0"/>
      <w:outlineLvl w:val="5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paragraph" w:styleId="9">
    <w:name w:val="heading 7"/>
    <w:basedOn w:val="1"/>
    <w:next w:val="3"/>
    <w:unhideWhenUsed/>
    <w:qFormat/>
    <w:uiPriority w:val="9"/>
    <w:pPr>
      <w:keepNext/>
      <w:keepLines/>
      <w:spacing w:before="200" w:after="0"/>
      <w:outlineLvl w:val="6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paragraph" w:styleId="10">
    <w:name w:val="heading 8"/>
    <w:basedOn w:val="1"/>
    <w:next w:val="3"/>
    <w:unhideWhenUsed/>
    <w:qFormat/>
    <w:uiPriority w:val="9"/>
    <w:pPr>
      <w:keepNext/>
      <w:keepLines/>
      <w:spacing w:before="200" w:after="0"/>
      <w:outlineLvl w:val="7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paragraph" w:styleId="11">
    <w:name w:val="heading 9"/>
    <w:basedOn w:val="1"/>
    <w:next w:val="3"/>
    <w:unhideWhenUsed/>
    <w:qFormat/>
    <w:uiPriority w:val="9"/>
    <w:pPr>
      <w:keepNext/>
      <w:keepLines/>
      <w:spacing w:before="200" w:after="0"/>
      <w:outlineLvl w:val="8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character" w:default="1" w:styleId="21">
    <w:name w:val="Default Paragraph Font"/>
    <w:semiHidden/>
    <w:unhideWhenUsed/>
    <w:qFormat/>
    <w:uiPriority w:val="1"/>
  </w:style>
  <w:style w:type="table" w:default="1" w:styleId="2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0"/>
    <w:pPr>
      <w:spacing w:before="180" w:after="180"/>
    </w:pPr>
  </w:style>
  <w:style w:type="paragraph" w:styleId="12">
    <w:name w:val="caption"/>
    <w:basedOn w:val="1"/>
    <w:link w:val="23"/>
    <w:qFormat/>
    <w:uiPriority w:val="0"/>
    <w:pPr>
      <w:spacing w:after="120"/>
    </w:pPr>
    <w:rPr>
      <w:i/>
    </w:rPr>
  </w:style>
  <w:style w:type="paragraph" w:styleId="13">
    <w:name w:val="Block Text"/>
    <w:basedOn w:val="3"/>
    <w:next w:val="3"/>
    <w:unhideWhenUsed/>
    <w:qFormat/>
    <w:uiPriority w:val="9"/>
    <w:pPr>
      <w:spacing w:before="100" w:after="100"/>
      <w:ind w:left="480" w:right="480"/>
    </w:pPr>
  </w:style>
  <w:style w:type="paragraph" w:styleId="14">
    <w:name w:val="Date"/>
    <w:next w:val="3"/>
    <w:qFormat/>
    <w:uiPriority w:val="0"/>
    <w:pPr>
      <w:keepNext/>
      <w:keepLines/>
      <w:spacing w:after="200"/>
      <w:jc w:val="center"/>
    </w:pPr>
    <w:rPr>
      <w:rFonts w:asciiTheme="minorHAnsi" w:hAnsiTheme="minorHAnsi" w:eastAsiaTheme="minorEastAsia" w:cstheme="minorBidi"/>
      <w:sz w:val="24"/>
      <w:szCs w:val="24"/>
      <w:lang w:val="en-US" w:eastAsia="en-US" w:bidi="ar-SA"/>
    </w:rPr>
  </w:style>
  <w:style w:type="paragraph" w:styleId="15">
    <w:name w:val="footer"/>
    <w:basedOn w:val="1"/>
    <w:link w:val="73"/>
    <w:qFormat/>
    <w:uiPriority w:val="99"/>
    <w:pPr>
      <w:tabs>
        <w:tab w:val="center" w:pos="4153"/>
        <w:tab w:val="right" w:pos="8306"/>
      </w:tabs>
      <w:snapToGrid w:val="0"/>
    </w:pPr>
    <w:rPr>
      <w:sz w:val="18"/>
    </w:rPr>
  </w:style>
  <w:style w:type="paragraph" w:styleId="1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jc w:val="both"/>
    </w:pPr>
    <w:rPr>
      <w:sz w:val="18"/>
    </w:rPr>
  </w:style>
  <w:style w:type="paragraph" w:styleId="17">
    <w:name w:val="Subtitle"/>
    <w:basedOn w:val="18"/>
    <w:next w:val="3"/>
    <w:qFormat/>
    <w:uiPriority w:val="0"/>
    <w:pPr>
      <w:spacing w:before="240"/>
    </w:pPr>
    <w:rPr>
      <w:sz w:val="30"/>
      <w:szCs w:val="30"/>
    </w:rPr>
  </w:style>
  <w:style w:type="paragraph" w:styleId="18">
    <w:name w:val="Title"/>
    <w:basedOn w:val="1"/>
    <w:next w:val="3"/>
    <w:qFormat/>
    <w:uiPriority w:val="0"/>
    <w:pPr>
      <w:keepNext/>
      <w:keepLines/>
      <w:spacing w:before="480" w:after="240"/>
      <w:jc w:val="center"/>
    </w:pPr>
    <w:rPr>
      <w:rFonts w:asciiTheme="majorHAnsi" w:hAnsiTheme="majorHAnsi" w:eastAsiaTheme="majorEastAsia" w:cstheme="majorBidi"/>
      <w:b/>
      <w:bCs/>
      <w:color w:val="345B8A" w:themeColor="accent1" w:themeShade="B5"/>
      <w:sz w:val="36"/>
      <w:szCs w:val="36"/>
    </w:rPr>
  </w:style>
  <w:style w:type="paragraph" w:styleId="19">
    <w:name w:val="footnote text"/>
    <w:basedOn w:val="1"/>
    <w:unhideWhenUsed/>
    <w:qFormat/>
    <w:uiPriority w:val="9"/>
  </w:style>
  <w:style w:type="character" w:styleId="22">
    <w:name w:val="Hyperlink"/>
    <w:basedOn w:val="23"/>
    <w:qFormat/>
    <w:uiPriority w:val="0"/>
    <w:rPr>
      <w:color w:val="4F81BD" w:themeColor="accent1"/>
      <w14:textFill>
        <w14:solidFill>
          <w14:schemeClr w14:val="accent1"/>
        </w14:solidFill>
      </w14:textFill>
    </w:rPr>
  </w:style>
  <w:style w:type="character" w:customStyle="1" w:styleId="23">
    <w:name w:val="题注 字符"/>
    <w:basedOn w:val="21"/>
    <w:link w:val="12"/>
    <w:qFormat/>
    <w:uiPriority w:val="0"/>
  </w:style>
  <w:style w:type="character" w:styleId="24">
    <w:name w:val="footnote reference"/>
    <w:basedOn w:val="23"/>
    <w:qFormat/>
    <w:uiPriority w:val="0"/>
    <w:rPr>
      <w:vertAlign w:val="superscript"/>
    </w:rPr>
  </w:style>
  <w:style w:type="paragraph" w:customStyle="1" w:styleId="25">
    <w:name w:val="First Paragraph"/>
    <w:basedOn w:val="3"/>
    <w:next w:val="3"/>
    <w:qFormat/>
    <w:uiPriority w:val="0"/>
  </w:style>
  <w:style w:type="paragraph" w:customStyle="1" w:styleId="26">
    <w:name w:val="Compact"/>
    <w:basedOn w:val="3"/>
    <w:qFormat/>
    <w:uiPriority w:val="0"/>
    <w:pPr>
      <w:spacing w:before="36" w:after="36"/>
    </w:pPr>
  </w:style>
  <w:style w:type="paragraph" w:customStyle="1" w:styleId="27">
    <w:name w:val="Author"/>
    <w:next w:val="3"/>
    <w:qFormat/>
    <w:uiPriority w:val="0"/>
    <w:pPr>
      <w:keepNext/>
      <w:keepLines/>
      <w:spacing w:after="200"/>
      <w:jc w:val="center"/>
    </w:pPr>
    <w:rPr>
      <w:rFonts w:asciiTheme="minorHAnsi" w:hAnsiTheme="minorHAnsi" w:eastAsiaTheme="minorEastAsia" w:cstheme="minorBidi"/>
      <w:sz w:val="24"/>
      <w:szCs w:val="24"/>
      <w:lang w:val="en-US" w:eastAsia="en-US" w:bidi="ar-SA"/>
    </w:rPr>
  </w:style>
  <w:style w:type="paragraph" w:customStyle="1" w:styleId="28">
    <w:name w:val="Abstract"/>
    <w:basedOn w:val="1"/>
    <w:next w:val="3"/>
    <w:qFormat/>
    <w:uiPriority w:val="0"/>
    <w:pPr>
      <w:keepNext/>
      <w:keepLines/>
      <w:spacing w:before="300" w:after="300"/>
    </w:pPr>
    <w:rPr>
      <w:sz w:val="20"/>
      <w:szCs w:val="20"/>
    </w:rPr>
  </w:style>
  <w:style w:type="paragraph" w:customStyle="1" w:styleId="29">
    <w:name w:val="书目1"/>
    <w:basedOn w:val="1"/>
    <w:qFormat/>
    <w:uiPriority w:val="0"/>
  </w:style>
  <w:style w:type="table" w:customStyle="1" w:styleId="30">
    <w:name w:val="Table"/>
    <w:semiHidden/>
    <w:unhideWhenUsed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bottom w:val="single" w:color="auto" w:sz="0" w:space="0"/>
        </w:tcBorders>
        <w:vAlign w:val="bottom"/>
      </w:tcPr>
    </w:tblStylePr>
  </w:style>
  <w:style w:type="paragraph" w:customStyle="1" w:styleId="31">
    <w:name w:val="Definition Term"/>
    <w:basedOn w:val="1"/>
    <w:next w:val="32"/>
    <w:qFormat/>
    <w:uiPriority w:val="0"/>
    <w:pPr>
      <w:keepNext/>
      <w:keepLines/>
      <w:spacing w:after="0"/>
    </w:pPr>
    <w:rPr>
      <w:b/>
    </w:rPr>
  </w:style>
  <w:style w:type="paragraph" w:customStyle="1" w:styleId="32">
    <w:name w:val="Definition"/>
    <w:basedOn w:val="1"/>
    <w:qFormat/>
    <w:uiPriority w:val="0"/>
  </w:style>
  <w:style w:type="paragraph" w:customStyle="1" w:styleId="33">
    <w:name w:val="Table Caption"/>
    <w:basedOn w:val="12"/>
    <w:qFormat/>
    <w:uiPriority w:val="0"/>
    <w:pPr>
      <w:keepNext/>
    </w:pPr>
  </w:style>
  <w:style w:type="paragraph" w:customStyle="1" w:styleId="34">
    <w:name w:val="Image Caption"/>
    <w:basedOn w:val="12"/>
    <w:qFormat/>
    <w:uiPriority w:val="0"/>
  </w:style>
  <w:style w:type="paragraph" w:customStyle="1" w:styleId="35">
    <w:name w:val="Figure"/>
    <w:basedOn w:val="1"/>
    <w:qFormat/>
    <w:uiPriority w:val="0"/>
  </w:style>
  <w:style w:type="paragraph" w:customStyle="1" w:styleId="36">
    <w:name w:val="Captioned Figure"/>
    <w:basedOn w:val="35"/>
    <w:qFormat/>
    <w:uiPriority w:val="0"/>
    <w:pPr>
      <w:keepNext/>
    </w:pPr>
  </w:style>
  <w:style w:type="character" w:customStyle="1" w:styleId="37">
    <w:name w:val="Verbatim Char"/>
    <w:basedOn w:val="23"/>
    <w:link w:val="38"/>
    <w:qFormat/>
    <w:uiPriority w:val="0"/>
    <w:rPr>
      <w:rFonts w:ascii="Consolas" w:hAnsi="Consolas"/>
      <w:sz w:val="22"/>
    </w:rPr>
  </w:style>
  <w:style w:type="paragraph" w:customStyle="1" w:styleId="38">
    <w:name w:val="Source Code"/>
    <w:link w:val="37"/>
    <w:qFormat/>
    <w:uiPriority w:val="0"/>
    <w:pPr>
      <w:wordWrap w:val="0"/>
      <w:spacing w:after="200"/>
    </w:pPr>
    <w:rPr>
      <w:rFonts w:asciiTheme="minorHAnsi" w:hAnsiTheme="minorHAnsi" w:eastAsiaTheme="minorEastAsia" w:cstheme="minorBidi"/>
      <w:sz w:val="24"/>
      <w:szCs w:val="24"/>
      <w:lang w:val="en-US" w:eastAsia="en-US" w:bidi="ar-SA"/>
    </w:rPr>
  </w:style>
  <w:style w:type="character" w:customStyle="1" w:styleId="39">
    <w:name w:val="Section Number"/>
    <w:basedOn w:val="23"/>
    <w:qFormat/>
    <w:uiPriority w:val="0"/>
  </w:style>
  <w:style w:type="paragraph" w:customStyle="1" w:styleId="40">
    <w:name w:val="TOC 标题1"/>
    <w:basedOn w:val="2"/>
    <w:next w:val="3"/>
    <w:unhideWhenUsed/>
    <w:qFormat/>
    <w:uiPriority w:val="39"/>
    <w:pPr>
      <w:spacing w:before="240" w:line="259" w:lineRule="auto"/>
      <w:outlineLvl w:val="9"/>
    </w:pPr>
    <w:rPr>
      <w:b w:val="0"/>
      <w:bCs w:val="0"/>
      <w:color w:val="376092" w:themeColor="accent1" w:themeShade="BF"/>
    </w:rPr>
  </w:style>
  <w:style w:type="character" w:customStyle="1" w:styleId="41">
    <w:name w:val="KeywordTok"/>
    <w:basedOn w:val="37"/>
    <w:qFormat/>
    <w:uiPriority w:val="0"/>
    <w:rPr>
      <w:rFonts w:ascii="Consolas" w:hAnsi="Consolas"/>
      <w:b/>
      <w:color w:val="007020"/>
      <w:sz w:val="22"/>
    </w:rPr>
  </w:style>
  <w:style w:type="character" w:customStyle="1" w:styleId="42">
    <w:name w:val="DataTypeTok"/>
    <w:basedOn w:val="37"/>
    <w:qFormat/>
    <w:uiPriority w:val="0"/>
    <w:rPr>
      <w:rFonts w:ascii="Consolas" w:hAnsi="Consolas"/>
      <w:color w:val="902000"/>
      <w:sz w:val="22"/>
    </w:rPr>
  </w:style>
  <w:style w:type="character" w:customStyle="1" w:styleId="43">
    <w:name w:val="DecValTok"/>
    <w:basedOn w:val="37"/>
    <w:qFormat/>
    <w:uiPriority w:val="0"/>
    <w:rPr>
      <w:rFonts w:ascii="Consolas" w:hAnsi="Consolas"/>
      <w:color w:val="40A070"/>
      <w:sz w:val="22"/>
    </w:rPr>
  </w:style>
  <w:style w:type="character" w:customStyle="1" w:styleId="44">
    <w:name w:val="BaseNTok"/>
    <w:basedOn w:val="37"/>
    <w:qFormat/>
    <w:uiPriority w:val="0"/>
    <w:rPr>
      <w:rFonts w:ascii="Consolas" w:hAnsi="Consolas"/>
      <w:color w:val="40A070"/>
      <w:sz w:val="22"/>
    </w:rPr>
  </w:style>
  <w:style w:type="character" w:customStyle="1" w:styleId="45">
    <w:name w:val="FloatTok"/>
    <w:basedOn w:val="37"/>
    <w:qFormat/>
    <w:uiPriority w:val="0"/>
    <w:rPr>
      <w:rFonts w:ascii="Consolas" w:hAnsi="Consolas"/>
      <w:color w:val="40A070"/>
      <w:sz w:val="22"/>
    </w:rPr>
  </w:style>
  <w:style w:type="character" w:customStyle="1" w:styleId="46">
    <w:name w:val="ConstantTok"/>
    <w:basedOn w:val="37"/>
    <w:qFormat/>
    <w:uiPriority w:val="0"/>
    <w:rPr>
      <w:rFonts w:ascii="Consolas" w:hAnsi="Consolas"/>
      <w:color w:val="880000"/>
      <w:sz w:val="22"/>
    </w:rPr>
  </w:style>
  <w:style w:type="character" w:customStyle="1" w:styleId="47">
    <w:name w:val="CharTok"/>
    <w:basedOn w:val="37"/>
    <w:qFormat/>
    <w:uiPriority w:val="0"/>
    <w:rPr>
      <w:rFonts w:ascii="Consolas" w:hAnsi="Consolas"/>
      <w:color w:val="4070A0"/>
      <w:sz w:val="22"/>
    </w:rPr>
  </w:style>
  <w:style w:type="character" w:customStyle="1" w:styleId="48">
    <w:name w:val="SpecialCharTok"/>
    <w:basedOn w:val="37"/>
    <w:qFormat/>
    <w:uiPriority w:val="0"/>
    <w:rPr>
      <w:rFonts w:ascii="Consolas" w:hAnsi="Consolas"/>
      <w:color w:val="4070A0"/>
      <w:sz w:val="22"/>
    </w:rPr>
  </w:style>
  <w:style w:type="character" w:customStyle="1" w:styleId="49">
    <w:name w:val="StringTok"/>
    <w:basedOn w:val="37"/>
    <w:qFormat/>
    <w:uiPriority w:val="0"/>
    <w:rPr>
      <w:rFonts w:ascii="Consolas" w:hAnsi="Consolas"/>
      <w:color w:val="4070A0"/>
      <w:sz w:val="22"/>
    </w:rPr>
  </w:style>
  <w:style w:type="character" w:customStyle="1" w:styleId="50">
    <w:name w:val="VerbatimStringTok"/>
    <w:basedOn w:val="37"/>
    <w:qFormat/>
    <w:uiPriority w:val="0"/>
    <w:rPr>
      <w:rFonts w:ascii="Consolas" w:hAnsi="Consolas"/>
      <w:color w:val="4070A0"/>
      <w:sz w:val="22"/>
    </w:rPr>
  </w:style>
  <w:style w:type="character" w:customStyle="1" w:styleId="51">
    <w:name w:val="SpecialStringTok"/>
    <w:basedOn w:val="37"/>
    <w:qFormat/>
    <w:uiPriority w:val="0"/>
    <w:rPr>
      <w:rFonts w:ascii="Consolas" w:hAnsi="Consolas"/>
      <w:color w:val="BB6688"/>
      <w:sz w:val="22"/>
    </w:rPr>
  </w:style>
  <w:style w:type="character" w:customStyle="1" w:styleId="52">
    <w:name w:val="ImportTok"/>
    <w:basedOn w:val="37"/>
    <w:qFormat/>
    <w:uiPriority w:val="0"/>
    <w:rPr>
      <w:rFonts w:ascii="Consolas" w:hAnsi="Consolas"/>
      <w:b/>
      <w:color w:val="008000"/>
      <w:sz w:val="22"/>
    </w:rPr>
  </w:style>
  <w:style w:type="character" w:customStyle="1" w:styleId="53">
    <w:name w:val="CommentTok"/>
    <w:basedOn w:val="37"/>
    <w:qFormat/>
    <w:uiPriority w:val="0"/>
    <w:rPr>
      <w:rFonts w:ascii="Consolas" w:hAnsi="Consolas"/>
      <w:i/>
      <w:color w:val="60A0B0"/>
      <w:sz w:val="22"/>
    </w:rPr>
  </w:style>
  <w:style w:type="character" w:customStyle="1" w:styleId="54">
    <w:name w:val="DocumentationTok"/>
    <w:basedOn w:val="37"/>
    <w:qFormat/>
    <w:uiPriority w:val="0"/>
    <w:rPr>
      <w:rFonts w:ascii="Consolas" w:hAnsi="Consolas"/>
      <w:i/>
      <w:color w:val="BA2121"/>
      <w:sz w:val="22"/>
    </w:rPr>
  </w:style>
  <w:style w:type="character" w:customStyle="1" w:styleId="55">
    <w:name w:val="AnnotationTok"/>
    <w:basedOn w:val="37"/>
    <w:qFormat/>
    <w:uiPriority w:val="0"/>
    <w:rPr>
      <w:rFonts w:ascii="Consolas" w:hAnsi="Consolas"/>
      <w:b/>
      <w:i/>
      <w:color w:val="60A0B0"/>
      <w:sz w:val="22"/>
    </w:rPr>
  </w:style>
  <w:style w:type="character" w:customStyle="1" w:styleId="56">
    <w:name w:val="CommentVarTok"/>
    <w:basedOn w:val="37"/>
    <w:qFormat/>
    <w:uiPriority w:val="0"/>
    <w:rPr>
      <w:rFonts w:ascii="Consolas" w:hAnsi="Consolas"/>
      <w:b/>
      <w:i/>
      <w:color w:val="60A0B0"/>
      <w:sz w:val="22"/>
    </w:rPr>
  </w:style>
  <w:style w:type="character" w:customStyle="1" w:styleId="57">
    <w:name w:val="OtherTok"/>
    <w:basedOn w:val="37"/>
    <w:qFormat/>
    <w:uiPriority w:val="0"/>
    <w:rPr>
      <w:rFonts w:ascii="Consolas" w:hAnsi="Consolas"/>
      <w:color w:val="007020"/>
      <w:sz w:val="22"/>
    </w:rPr>
  </w:style>
  <w:style w:type="character" w:customStyle="1" w:styleId="58">
    <w:name w:val="FunctionTok"/>
    <w:basedOn w:val="37"/>
    <w:qFormat/>
    <w:uiPriority w:val="0"/>
    <w:rPr>
      <w:rFonts w:ascii="Consolas" w:hAnsi="Consolas"/>
      <w:color w:val="06287E"/>
      <w:sz w:val="22"/>
    </w:rPr>
  </w:style>
  <w:style w:type="character" w:customStyle="1" w:styleId="59">
    <w:name w:val="VariableTok"/>
    <w:basedOn w:val="37"/>
    <w:qFormat/>
    <w:uiPriority w:val="0"/>
    <w:rPr>
      <w:rFonts w:ascii="Consolas" w:hAnsi="Consolas"/>
      <w:color w:val="19177C"/>
      <w:sz w:val="22"/>
    </w:rPr>
  </w:style>
  <w:style w:type="character" w:customStyle="1" w:styleId="60">
    <w:name w:val="ControlFlowTok"/>
    <w:basedOn w:val="37"/>
    <w:qFormat/>
    <w:uiPriority w:val="0"/>
    <w:rPr>
      <w:rFonts w:ascii="Consolas" w:hAnsi="Consolas"/>
      <w:b/>
      <w:color w:val="007020"/>
      <w:sz w:val="22"/>
    </w:rPr>
  </w:style>
  <w:style w:type="character" w:customStyle="1" w:styleId="61">
    <w:name w:val="OperatorTok"/>
    <w:basedOn w:val="37"/>
    <w:qFormat/>
    <w:uiPriority w:val="0"/>
    <w:rPr>
      <w:rFonts w:ascii="Consolas" w:hAnsi="Consolas"/>
      <w:color w:val="666666"/>
      <w:sz w:val="22"/>
    </w:rPr>
  </w:style>
  <w:style w:type="character" w:customStyle="1" w:styleId="62">
    <w:name w:val="BuiltInTok"/>
    <w:basedOn w:val="37"/>
    <w:qFormat/>
    <w:uiPriority w:val="0"/>
    <w:rPr>
      <w:rFonts w:ascii="Consolas" w:hAnsi="Consolas"/>
      <w:color w:val="008000"/>
      <w:sz w:val="22"/>
    </w:rPr>
  </w:style>
  <w:style w:type="character" w:customStyle="1" w:styleId="63">
    <w:name w:val="ExtensionTok"/>
    <w:basedOn w:val="37"/>
    <w:qFormat/>
    <w:uiPriority w:val="0"/>
    <w:rPr>
      <w:rFonts w:ascii="Consolas" w:hAnsi="Consolas"/>
      <w:sz w:val="22"/>
    </w:rPr>
  </w:style>
  <w:style w:type="character" w:customStyle="1" w:styleId="64">
    <w:name w:val="PreprocessorTok"/>
    <w:basedOn w:val="37"/>
    <w:qFormat/>
    <w:uiPriority w:val="0"/>
    <w:rPr>
      <w:rFonts w:ascii="Consolas" w:hAnsi="Consolas"/>
      <w:color w:val="BC7A00"/>
      <w:sz w:val="22"/>
    </w:rPr>
  </w:style>
  <w:style w:type="character" w:customStyle="1" w:styleId="65">
    <w:name w:val="AttributeTok"/>
    <w:basedOn w:val="37"/>
    <w:qFormat/>
    <w:uiPriority w:val="0"/>
    <w:rPr>
      <w:rFonts w:ascii="Consolas" w:hAnsi="Consolas"/>
      <w:color w:val="7D9029"/>
      <w:sz w:val="22"/>
    </w:rPr>
  </w:style>
  <w:style w:type="character" w:customStyle="1" w:styleId="66">
    <w:name w:val="RegionMarkerTok"/>
    <w:basedOn w:val="37"/>
    <w:qFormat/>
    <w:uiPriority w:val="0"/>
    <w:rPr>
      <w:rFonts w:ascii="Consolas" w:hAnsi="Consolas"/>
      <w:sz w:val="22"/>
    </w:rPr>
  </w:style>
  <w:style w:type="character" w:customStyle="1" w:styleId="67">
    <w:name w:val="InformationTok"/>
    <w:basedOn w:val="37"/>
    <w:qFormat/>
    <w:uiPriority w:val="0"/>
    <w:rPr>
      <w:rFonts w:ascii="Consolas" w:hAnsi="Consolas"/>
      <w:b/>
      <w:i/>
      <w:color w:val="60A0B0"/>
      <w:sz w:val="22"/>
    </w:rPr>
  </w:style>
  <w:style w:type="character" w:customStyle="1" w:styleId="68">
    <w:name w:val="WarningTok"/>
    <w:basedOn w:val="37"/>
    <w:qFormat/>
    <w:uiPriority w:val="0"/>
    <w:rPr>
      <w:rFonts w:ascii="Consolas" w:hAnsi="Consolas"/>
      <w:b/>
      <w:i/>
      <w:color w:val="60A0B0"/>
      <w:sz w:val="22"/>
    </w:rPr>
  </w:style>
  <w:style w:type="character" w:customStyle="1" w:styleId="69">
    <w:name w:val="AlertTok"/>
    <w:basedOn w:val="37"/>
    <w:qFormat/>
    <w:uiPriority w:val="0"/>
    <w:rPr>
      <w:rFonts w:ascii="Consolas" w:hAnsi="Consolas"/>
      <w:b/>
      <w:color w:val="FF0000"/>
      <w:sz w:val="22"/>
    </w:rPr>
  </w:style>
  <w:style w:type="character" w:customStyle="1" w:styleId="70">
    <w:name w:val="ErrorTok"/>
    <w:basedOn w:val="37"/>
    <w:qFormat/>
    <w:uiPriority w:val="0"/>
    <w:rPr>
      <w:rFonts w:ascii="Consolas" w:hAnsi="Consolas"/>
      <w:b/>
      <w:color w:val="FF0000"/>
      <w:sz w:val="22"/>
    </w:rPr>
  </w:style>
  <w:style w:type="character" w:customStyle="1" w:styleId="71">
    <w:name w:val="NormalTok"/>
    <w:basedOn w:val="37"/>
    <w:qFormat/>
    <w:uiPriority w:val="0"/>
    <w:rPr>
      <w:rFonts w:ascii="Consolas" w:hAnsi="Consolas"/>
      <w:sz w:val="22"/>
    </w:rPr>
  </w:style>
  <w:style w:type="paragraph" w:styleId="72">
    <w:name w:val="List Paragraph"/>
    <w:basedOn w:val="1"/>
    <w:uiPriority w:val="99"/>
    <w:pPr>
      <w:ind w:firstLine="420" w:firstLineChars="200"/>
    </w:pPr>
  </w:style>
  <w:style w:type="character" w:customStyle="1" w:styleId="73">
    <w:name w:val="页脚 字符"/>
    <w:basedOn w:val="21"/>
    <w:link w:val="15"/>
    <w:uiPriority w:val="99"/>
    <w:rPr>
      <w:sz w:val="18"/>
      <w:szCs w:val="24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tiff"/><Relationship Id="rId7" Type="http://schemas.openxmlformats.org/officeDocument/2006/relationships/image" Target="media/image2.tiff"/><Relationship Id="rId6" Type="http://schemas.openxmlformats.org/officeDocument/2006/relationships/image" Target="media/image1.tiff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9.tiff"/><Relationship Id="rId13" Type="http://schemas.openxmlformats.org/officeDocument/2006/relationships/image" Target="media/image8.png"/><Relationship Id="rId12" Type="http://schemas.openxmlformats.org/officeDocument/2006/relationships/image" Target="media/image7.tiff"/><Relationship Id="rId11" Type="http://schemas.openxmlformats.org/officeDocument/2006/relationships/image" Target="media/image6.tiff"/><Relationship Id="rId10" Type="http://schemas.openxmlformats.org/officeDocument/2006/relationships/image" Target="media/image5.tif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5494</Words>
  <Characters>5620</Characters>
  <Lines>112</Lines>
  <Paragraphs>86</Paragraphs>
  <TotalTime>425</TotalTime>
  <ScaleCrop>false</ScaleCrop>
  <LinksUpToDate>false</LinksUpToDate>
  <CharactersWithSpaces>5641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2025-09-14T09:19:00Z</dcterms:created>
  <dc:creator>酷军仔</dc:creator>
  <cp:lastModifiedBy>酷军仔</cp:lastModifiedBy>
  <dcterms:modified xsi:type="dcterms:W3CDTF">2025-09-15T00:40:20Z</dcterms:modified>
  <cp:revision>255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eyJoZGlkIjoiYjJjOTQxYzhjODMyMDAzZmE0MDJkMWFkNmJlNDkwYTUiLCJ1c2VySWQiOiIzMjE5MjcxODIifQ==</vt:lpwstr>
  </property>
  <property fmtid="{D5CDD505-2E9C-101B-9397-08002B2CF9AE}" pid="3" name="KSOProductBuildVer">
    <vt:lpwstr>2052-12.1.0.22529</vt:lpwstr>
  </property>
  <property fmtid="{D5CDD505-2E9C-101B-9397-08002B2CF9AE}" pid="4" name="ICV">
    <vt:lpwstr>6B9C421056674B96837EB66579733645_13</vt:lpwstr>
  </property>
</Properties>
</file>